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AB3328" w14:textId="77777777" w:rsidR="006E60F9" w:rsidRDefault="00464835" w:rsidP="001D5CF5">
      <w:pPr>
        <w:spacing w:after="300"/>
        <w:jc w:val="center"/>
      </w:pPr>
      <w:r>
        <w:rPr>
          <w:noProof/>
        </w:rPr>
        <w:drawing>
          <wp:inline distT="0" distB="0" distL="0" distR="0" wp14:anchorId="22C34B07" wp14:editId="452168DD">
            <wp:extent cx="2181225" cy="1680616"/>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211117" cy="1703648"/>
                    </a:xfrm>
                    <a:prstGeom prst="rect">
                      <a:avLst/>
                    </a:prstGeom>
                  </pic:spPr>
                </pic:pic>
              </a:graphicData>
            </a:graphic>
          </wp:inline>
        </w:drawing>
      </w:r>
    </w:p>
    <w:p w14:paraId="2DD667D7" w14:textId="5341830A" w:rsidR="006E60F9" w:rsidRDefault="00464835">
      <w:pPr>
        <w:spacing w:after="300" w:line="276" w:lineRule="auto"/>
        <w:jc w:val="right"/>
      </w:pPr>
      <w:r>
        <w:rPr>
          <w:rFonts w:ascii="Arial" w:eastAsia="Arial" w:hAnsi="Arial" w:cs="Arial"/>
          <w:sz w:val="22"/>
          <w:szCs w:val="22"/>
        </w:rPr>
        <w:t xml:space="preserve">Santiago, </w:t>
      </w:r>
      <w:r w:rsidR="001D5CF5">
        <w:rPr>
          <w:rFonts w:ascii="Arial" w:eastAsia="Arial" w:hAnsi="Arial" w:cs="Arial"/>
          <w:sz w:val="22"/>
          <w:szCs w:val="22"/>
        </w:rPr>
        <w:t>6</w:t>
      </w:r>
      <w:r>
        <w:rPr>
          <w:rFonts w:ascii="Arial" w:eastAsia="Arial" w:hAnsi="Arial" w:cs="Arial"/>
          <w:sz w:val="22"/>
          <w:szCs w:val="22"/>
        </w:rPr>
        <w:t xml:space="preserve"> de agosto de 2026.</w:t>
      </w:r>
    </w:p>
    <w:p w14:paraId="155A6293" w14:textId="77777777" w:rsidR="006E60F9" w:rsidRDefault="00464835">
      <w:pPr>
        <w:spacing w:line="276" w:lineRule="auto"/>
      </w:pPr>
      <w:r>
        <w:rPr>
          <w:rFonts w:ascii="Arial" w:eastAsia="Arial" w:hAnsi="Arial" w:cs="Arial"/>
          <w:sz w:val="22"/>
          <w:szCs w:val="22"/>
        </w:rPr>
        <w:t>Señor</w:t>
      </w:r>
    </w:p>
    <w:p w14:paraId="47844F1C" w14:textId="77777777" w:rsidR="006E60F9" w:rsidRDefault="00464835">
      <w:pPr>
        <w:spacing w:line="276" w:lineRule="auto"/>
      </w:pPr>
      <w:r>
        <w:rPr>
          <w:rFonts w:ascii="Arial" w:eastAsia="Arial" w:hAnsi="Arial" w:cs="Arial"/>
          <w:b/>
          <w:bCs/>
          <w:sz w:val="22"/>
          <w:szCs w:val="22"/>
        </w:rPr>
        <w:t>Jorge Quiroz Castro</w:t>
      </w:r>
    </w:p>
    <w:p w14:paraId="39DBB75E" w14:textId="77777777" w:rsidR="006E60F9" w:rsidRDefault="00464835">
      <w:pPr>
        <w:spacing w:line="276" w:lineRule="auto"/>
      </w:pPr>
      <w:r>
        <w:rPr>
          <w:rFonts w:ascii="Arial" w:eastAsia="Arial" w:hAnsi="Arial" w:cs="Arial"/>
          <w:sz w:val="22"/>
          <w:szCs w:val="22"/>
        </w:rPr>
        <w:t>Ministro de Hacienda</w:t>
      </w:r>
    </w:p>
    <w:p w14:paraId="3D1674F4" w14:textId="77777777" w:rsidR="006E60F9" w:rsidRDefault="00464835">
      <w:pPr>
        <w:spacing w:after="300" w:line="276" w:lineRule="auto"/>
      </w:pPr>
      <w:r>
        <w:rPr>
          <w:rFonts w:ascii="Arial" w:eastAsia="Arial" w:hAnsi="Arial" w:cs="Arial"/>
          <w:sz w:val="22"/>
          <w:szCs w:val="22"/>
        </w:rPr>
        <w:t>Presente</w:t>
      </w:r>
    </w:p>
    <w:p w14:paraId="21918C62" w14:textId="77777777" w:rsidR="006E60F9" w:rsidRDefault="00464835">
      <w:pPr>
        <w:spacing w:after="200" w:line="276" w:lineRule="auto"/>
      </w:pPr>
      <w:r>
        <w:rPr>
          <w:rFonts w:ascii="Arial" w:eastAsia="Arial" w:hAnsi="Arial" w:cs="Arial"/>
          <w:sz w:val="22"/>
          <w:szCs w:val="22"/>
        </w:rPr>
        <w:t>Estimado Ministro:</w:t>
      </w:r>
    </w:p>
    <w:p w14:paraId="67C359F9" w14:textId="309AD7A5" w:rsidR="006E60F9" w:rsidRDefault="00464835">
      <w:pPr>
        <w:spacing w:after="140" w:line="264" w:lineRule="auto"/>
        <w:jc w:val="both"/>
      </w:pPr>
      <w:r>
        <w:rPr>
          <w:rFonts w:ascii="Arial" w:eastAsia="Arial" w:hAnsi="Arial" w:cs="Arial"/>
          <w:sz w:val="22"/>
          <w:szCs w:val="22"/>
        </w:rPr>
        <w:t xml:space="preserve">Le escribo para poner en su conocimiento un problema que, a mi juicio, </w:t>
      </w:r>
      <w:r w:rsidR="001D5CF5">
        <w:rPr>
          <w:rFonts w:ascii="Arial" w:eastAsia="Arial" w:hAnsi="Arial" w:cs="Arial"/>
          <w:sz w:val="22"/>
          <w:szCs w:val="22"/>
        </w:rPr>
        <w:t xml:space="preserve">requiere de su pronunciamiento y que </w:t>
      </w:r>
      <w:r>
        <w:rPr>
          <w:rFonts w:ascii="Arial" w:eastAsia="Arial" w:hAnsi="Arial" w:cs="Arial"/>
          <w:sz w:val="22"/>
          <w:szCs w:val="22"/>
        </w:rPr>
        <w:t xml:space="preserve">conviene corregir por ley, </w:t>
      </w:r>
      <w:r w:rsidR="001D5CF5">
        <w:rPr>
          <w:rFonts w:ascii="Arial" w:eastAsia="Arial" w:hAnsi="Arial" w:cs="Arial"/>
          <w:sz w:val="22"/>
          <w:szCs w:val="22"/>
        </w:rPr>
        <w:t>en tanto</w:t>
      </w:r>
      <w:r>
        <w:rPr>
          <w:rFonts w:ascii="Arial" w:eastAsia="Arial" w:hAnsi="Arial" w:cs="Arial"/>
          <w:sz w:val="22"/>
          <w:szCs w:val="22"/>
        </w:rPr>
        <w:t xml:space="preserve"> afecta a todo el Estado y no solo a nuestra </w:t>
      </w:r>
      <w:r w:rsidR="001D5CF5">
        <w:rPr>
          <w:rFonts w:ascii="Arial" w:eastAsia="Arial" w:hAnsi="Arial" w:cs="Arial"/>
          <w:sz w:val="22"/>
          <w:szCs w:val="22"/>
        </w:rPr>
        <w:t>gobierno regional</w:t>
      </w:r>
      <w:r>
        <w:rPr>
          <w:rFonts w:ascii="Arial" w:eastAsia="Arial" w:hAnsi="Arial" w:cs="Arial"/>
          <w:sz w:val="22"/>
          <w:szCs w:val="22"/>
        </w:rPr>
        <w:t>.</w:t>
      </w:r>
    </w:p>
    <w:p w14:paraId="4C5FA582" w14:textId="7C5D34A6" w:rsidR="006E60F9" w:rsidRPr="001D5CF5" w:rsidRDefault="001D5CF5">
      <w:pPr>
        <w:spacing w:after="140" w:line="264" w:lineRule="auto"/>
        <w:jc w:val="both"/>
        <w:rPr>
          <w:rFonts w:ascii="Arial" w:eastAsia="Arial" w:hAnsi="Arial" w:cs="Arial"/>
          <w:sz w:val="22"/>
          <w:szCs w:val="22"/>
        </w:rPr>
      </w:pPr>
      <w:r>
        <w:rPr>
          <w:rFonts w:ascii="Arial" w:eastAsia="Arial" w:hAnsi="Arial" w:cs="Arial"/>
          <w:sz w:val="22"/>
          <w:szCs w:val="22"/>
        </w:rPr>
        <w:t xml:space="preserve">Desde el </w:t>
      </w:r>
      <w:r w:rsidR="00464835">
        <w:rPr>
          <w:rFonts w:ascii="Arial" w:eastAsia="Arial" w:hAnsi="Arial" w:cs="Arial"/>
          <w:sz w:val="22"/>
          <w:szCs w:val="22"/>
        </w:rPr>
        <w:t>Gobierno de Santiago</w:t>
      </w:r>
      <w:r>
        <w:rPr>
          <w:rFonts w:ascii="Arial" w:eastAsia="Arial" w:hAnsi="Arial" w:cs="Arial"/>
          <w:sz w:val="22"/>
          <w:szCs w:val="22"/>
        </w:rPr>
        <w:t xml:space="preserve">, con el espíritu de caucionar de manera eficiente los recursos públicos, </w:t>
      </w:r>
      <w:r w:rsidR="00464835">
        <w:rPr>
          <w:rFonts w:ascii="Arial" w:eastAsia="Arial" w:hAnsi="Arial" w:cs="Arial"/>
          <w:sz w:val="22"/>
          <w:szCs w:val="22"/>
        </w:rPr>
        <w:t>asegur</w:t>
      </w:r>
      <w:r>
        <w:rPr>
          <w:rFonts w:ascii="Arial" w:eastAsia="Arial" w:hAnsi="Arial" w:cs="Arial"/>
          <w:sz w:val="22"/>
          <w:szCs w:val="22"/>
        </w:rPr>
        <w:t>amos</w:t>
      </w:r>
      <w:r w:rsidR="00464835">
        <w:rPr>
          <w:rFonts w:ascii="Arial" w:eastAsia="Arial" w:hAnsi="Arial" w:cs="Arial"/>
          <w:sz w:val="22"/>
          <w:szCs w:val="22"/>
        </w:rPr>
        <w:t xml:space="preserve"> el cien por ciento </w:t>
      </w:r>
      <w:r w:rsidR="00BA66AC">
        <w:rPr>
          <w:rFonts w:ascii="Arial" w:eastAsia="Arial" w:hAnsi="Arial" w:cs="Arial"/>
          <w:sz w:val="22"/>
          <w:szCs w:val="22"/>
        </w:rPr>
        <w:t>de los proyectos y programas de nuestra cartera de inversión, incluido los</w:t>
      </w:r>
      <w:r w:rsidR="00464835">
        <w:rPr>
          <w:rFonts w:ascii="Arial" w:eastAsia="Arial" w:hAnsi="Arial" w:cs="Arial"/>
          <w:sz w:val="22"/>
          <w:szCs w:val="22"/>
        </w:rPr>
        <w:t xml:space="preserve"> fondos del programa de prevención del suicidio “Quédate” con pólizas de garantía “a primer requerimiento”</w:t>
      </w:r>
      <w:r>
        <w:rPr>
          <w:rFonts w:ascii="Arial" w:eastAsia="Arial" w:hAnsi="Arial" w:cs="Arial"/>
          <w:sz w:val="22"/>
          <w:szCs w:val="22"/>
        </w:rPr>
        <w:t xml:space="preserve"> a través de la Aseguradora Porvenir S.A (ASPOR)</w:t>
      </w:r>
      <w:r w:rsidR="00464835">
        <w:rPr>
          <w:rFonts w:ascii="Arial" w:eastAsia="Arial" w:hAnsi="Arial" w:cs="Arial"/>
          <w:sz w:val="22"/>
          <w:szCs w:val="22"/>
        </w:rPr>
        <w:t>,</w:t>
      </w:r>
      <w:r>
        <w:rPr>
          <w:rFonts w:ascii="Arial" w:eastAsia="Arial" w:hAnsi="Arial" w:cs="Arial"/>
          <w:sz w:val="22"/>
          <w:szCs w:val="22"/>
        </w:rPr>
        <w:t xml:space="preserve"> </w:t>
      </w:r>
      <w:r w:rsidR="00464835">
        <w:rPr>
          <w:rFonts w:ascii="Arial" w:eastAsia="Arial" w:hAnsi="Arial" w:cs="Arial"/>
          <w:sz w:val="22"/>
          <w:szCs w:val="22"/>
        </w:rPr>
        <w:t>instrumento que la ley creó para que el pago sea inmediato cuando la garantía se hace efectiva. Al cobrarlas</w:t>
      </w:r>
      <w:r w:rsidR="000D6568">
        <w:rPr>
          <w:rFonts w:ascii="Arial" w:eastAsia="Arial" w:hAnsi="Arial" w:cs="Arial"/>
          <w:sz w:val="22"/>
          <w:szCs w:val="22"/>
        </w:rPr>
        <w:t xml:space="preserve"> (</w:t>
      </w:r>
      <w:r w:rsidR="00464835">
        <w:rPr>
          <w:rFonts w:ascii="Arial" w:eastAsia="Arial" w:hAnsi="Arial" w:cs="Arial"/>
          <w:sz w:val="22"/>
          <w:szCs w:val="22"/>
        </w:rPr>
        <w:t>más de mil millones de pesos</w:t>
      </w:r>
      <w:r w:rsidR="000D6568">
        <w:rPr>
          <w:rFonts w:ascii="Arial" w:eastAsia="Arial" w:hAnsi="Arial" w:cs="Arial"/>
          <w:sz w:val="22"/>
          <w:szCs w:val="22"/>
        </w:rPr>
        <w:t>)</w:t>
      </w:r>
      <w:r w:rsidR="00464835">
        <w:rPr>
          <w:rFonts w:ascii="Arial" w:eastAsia="Arial" w:hAnsi="Arial" w:cs="Arial"/>
          <w:sz w:val="22"/>
          <w:szCs w:val="22"/>
        </w:rPr>
        <w:t xml:space="preserve"> la aseguradora se negó a pagar y consiguió una medida judicial que congeló el pago. La CMF la sancionó</w:t>
      </w:r>
      <w:r>
        <w:rPr>
          <w:rFonts w:ascii="Arial" w:eastAsia="Arial" w:hAnsi="Arial" w:cs="Arial"/>
          <w:sz w:val="22"/>
          <w:szCs w:val="22"/>
        </w:rPr>
        <w:t xml:space="preserve"> con una multa, la Corte de Apelaciones ratificó la sanción y ahora</w:t>
      </w:r>
      <w:r w:rsidR="00464835">
        <w:rPr>
          <w:rFonts w:ascii="Arial" w:eastAsia="Arial" w:hAnsi="Arial" w:cs="Arial"/>
          <w:sz w:val="22"/>
          <w:szCs w:val="22"/>
        </w:rPr>
        <w:t xml:space="preserve"> la Corte Suprema acaba de confirmar </w:t>
      </w:r>
      <w:r>
        <w:rPr>
          <w:rFonts w:ascii="Arial" w:eastAsia="Arial" w:hAnsi="Arial" w:cs="Arial"/>
          <w:sz w:val="22"/>
          <w:szCs w:val="22"/>
        </w:rPr>
        <w:t>nuevamente la medida, incluyendo el pago de costas para ASPOR</w:t>
      </w:r>
      <w:r w:rsidR="00464835">
        <w:rPr>
          <w:rFonts w:ascii="Arial" w:eastAsia="Arial" w:hAnsi="Arial" w:cs="Arial"/>
          <w:sz w:val="22"/>
          <w:szCs w:val="22"/>
        </w:rPr>
        <w:t xml:space="preserve">. </w:t>
      </w:r>
      <w:r>
        <w:rPr>
          <w:rFonts w:ascii="Arial" w:eastAsia="Arial" w:hAnsi="Arial" w:cs="Arial"/>
          <w:sz w:val="22"/>
          <w:szCs w:val="22"/>
        </w:rPr>
        <w:t>Sin embargo, p</w:t>
      </w:r>
      <w:r w:rsidR="00464835">
        <w:rPr>
          <w:rFonts w:ascii="Arial" w:eastAsia="Arial" w:hAnsi="Arial" w:cs="Arial"/>
          <w:sz w:val="22"/>
          <w:szCs w:val="22"/>
        </w:rPr>
        <w:t>ese a</w:t>
      </w:r>
      <w:r>
        <w:rPr>
          <w:rFonts w:ascii="Arial" w:eastAsia="Arial" w:hAnsi="Arial" w:cs="Arial"/>
          <w:sz w:val="22"/>
          <w:szCs w:val="22"/>
        </w:rPr>
        <w:t>l amparo judicial</w:t>
      </w:r>
      <w:r w:rsidR="00464835">
        <w:rPr>
          <w:rFonts w:ascii="Arial" w:eastAsia="Arial" w:hAnsi="Arial" w:cs="Arial"/>
          <w:sz w:val="22"/>
          <w:szCs w:val="22"/>
        </w:rPr>
        <w:t>, a casi tres años, seguimos sin recibir los recursos</w:t>
      </w:r>
      <w:r>
        <w:rPr>
          <w:rFonts w:ascii="Arial" w:eastAsia="Arial" w:hAnsi="Arial" w:cs="Arial"/>
          <w:sz w:val="22"/>
          <w:szCs w:val="22"/>
        </w:rPr>
        <w:t>.</w:t>
      </w:r>
    </w:p>
    <w:p w14:paraId="0C5D5654" w14:textId="1A3ADB7D" w:rsidR="006E60F9" w:rsidRDefault="00464835">
      <w:pPr>
        <w:spacing w:after="140" w:line="264" w:lineRule="auto"/>
        <w:jc w:val="both"/>
      </w:pPr>
      <w:r>
        <w:rPr>
          <w:rFonts w:ascii="Arial" w:eastAsia="Arial" w:hAnsi="Arial" w:cs="Arial"/>
          <w:sz w:val="22"/>
          <w:szCs w:val="22"/>
        </w:rPr>
        <w:t xml:space="preserve">El caso deja una lección incómoda: la ley dice que este seguro debe pagarse de inmediato y que no se pueden “oponer excepciones” para dilatarlo, pero nada dice sobre el uso de medidas judiciales para conseguir </w:t>
      </w:r>
      <w:r w:rsidR="001D5CF5">
        <w:rPr>
          <w:rFonts w:ascii="Arial" w:eastAsia="Arial" w:hAnsi="Arial" w:cs="Arial"/>
          <w:sz w:val="22"/>
          <w:szCs w:val="22"/>
        </w:rPr>
        <w:t>doblegar la norma</w:t>
      </w:r>
      <w:r>
        <w:rPr>
          <w:rFonts w:ascii="Arial" w:eastAsia="Arial" w:hAnsi="Arial" w:cs="Arial"/>
          <w:sz w:val="22"/>
          <w:szCs w:val="22"/>
        </w:rPr>
        <w:t xml:space="preserve">. Por ese resquicio, un pago que debía ser inmediato puede postergarse durante años. Los tribunales </w:t>
      </w:r>
      <w:r w:rsidR="00BA66AC">
        <w:rPr>
          <w:rFonts w:ascii="Arial" w:eastAsia="Arial" w:hAnsi="Arial" w:cs="Arial"/>
          <w:sz w:val="22"/>
          <w:szCs w:val="22"/>
        </w:rPr>
        <w:t xml:space="preserve">(Corte de Apelaciones y Corte Suprema), </w:t>
      </w:r>
      <w:r>
        <w:rPr>
          <w:rFonts w:ascii="Arial" w:eastAsia="Arial" w:hAnsi="Arial" w:cs="Arial"/>
          <w:sz w:val="22"/>
          <w:szCs w:val="22"/>
        </w:rPr>
        <w:t xml:space="preserve">la CMF </w:t>
      </w:r>
      <w:r w:rsidR="00BA66AC">
        <w:rPr>
          <w:rFonts w:ascii="Arial" w:eastAsia="Arial" w:hAnsi="Arial" w:cs="Arial"/>
          <w:sz w:val="22"/>
          <w:szCs w:val="22"/>
        </w:rPr>
        <w:t xml:space="preserve">y el Consejo de Defensa del Estado </w:t>
      </w:r>
      <w:r>
        <w:rPr>
          <w:rFonts w:ascii="Arial" w:eastAsia="Arial" w:hAnsi="Arial" w:cs="Arial"/>
          <w:sz w:val="22"/>
          <w:szCs w:val="22"/>
        </w:rPr>
        <w:t>nos han dado la razón, pero el vacío legal sigue ahí, y cualquiera puede volver a usarlo.</w:t>
      </w:r>
    </w:p>
    <w:p w14:paraId="73C58FC8" w14:textId="77777777" w:rsidR="006E60F9" w:rsidRDefault="00464835">
      <w:pPr>
        <w:spacing w:after="140" w:line="264" w:lineRule="auto"/>
        <w:jc w:val="both"/>
      </w:pPr>
      <w:r>
        <w:rPr>
          <w:rFonts w:ascii="Arial" w:eastAsia="Arial" w:hAnsi="Arial" w:cs="Arial"/>
          <w:sz w:val="22"/>
          <w:szCs w:val="22"/>
        </w:rPr>
        <w:t>Como el Ministerio de Hacienda es la cartera que se relaciona con la CMF y conduce la política del mercado de capitales, quería proponerle que evalúen y, si comparten el diagnóstico, impulsen una modificación al inciso final del artículo 583 del Código de Comercio, en esta dirección:</w:t>
      </w:r>
    </w:p>
    <w:p w14:paraId="7D29DF7E" w14:textId="77777777" w:rsidR="006E60F9" w:rsidRDefault="00464835">
      <w:pPr>
        <w:pStyle w:val="Prrafodelista"/>
        <w:numPr>
          <w:ilvl w:val="0"/>
          <w:numId w:val="2"/>
        </w:numPr>
        <w:spacing w:after="100" w:line="276" w:lineRule="auto"/>
        <w:jc w:val="both"/>
      </w:pPr>
      <w:r>
        <w:rPr>
          <w:rFonts w:ascii="Arial" w:eastAsia="Arial" w:hAnsi="Arial" w:cs="Arial"/>
          <w:sz w:val="22"/>
          <w:szCs w:val="22"/>
        </w:rPr>
        <w:t>Establecer que, dentro del plazo de la póliza, el pago no se pueda suspender ni postergar por acciones o medidas judiciales solicitadas por la propia aseguradora.</w:t>
      </w:r>
    </w:p>
    <w:p w14:paraId="4A6FDDEF" w14:textId="77777777" w:rsidR="006E60F9" w:rsidRDefault="00464835">
      <w:pPr>
        <w:pStyle w:val="Prrafodelista"/>
        <w:numPr>
          <w:ilvl w:val="0"/>
          <w:numId w:val="2"/>
        </w:numPr>
        <w:spacing w:after="100" w:line="276" w:lineRule="auto"/>
        <w:jc w:val="both"/>
      </w:pPr>
      <w:r>
        <w:rPr>
          <w:rFonts w:ascii="Arial" w:eastAsia="Arial" w:hAnsi="Arial" w:cs="Arial"/>
          <w:sz w:val="22"/>
          <w:szCs w:val="22"/>
        </w:rPr>
        <w:t>Dejar consagrada la regla de “pagar primero y discutir después”: la compañía paga y luego cobra a quien incumplió.</w:t>
      </w:r>
    </w:p>
    <w:p w14:paraId="40A1E8B9" w14:textId="77777777" w:rsidR="006E60F9" w:rsidRDefault="00464835">
      <w:pPr>
        <w:pStyle w:val="Prrafodelista"/>
        <w:numPr>
          <w:ilvl w:val="0"/>
          <w:numId w:val="2"/>
        </w:numPr>
        <w:spacing w:after="100" w:line="276" w:lineRule="auto"/>
        <w:jc w:val="both"/>
      </w:pPr>
      <w:r>
        <w:rPr>
          <w:rFonts w:ascii="Arial" w:eastAsia="Arial" w:hAnsi="Arial" w:cs="Arial"/>
          <w:sz w:val="22"/>
          <w:szCs w:val="22"/>
        </w:rPr>
        <w:lastRenderedPageBreak/>
        <w:t>Precisar que las discusiones sobre el incumplimiento de fondo no pueden frenar el pago inmediato.</w:t>
      </w:r>
    </w:p>
    <w:p w14:paraId="1E69E550" w14:textId="4FF81299" w:rsidR="006E60F9" w:rsidRDefault="00464835">
      <w:pPr>
        <w:pStyle w:val="Prrafodelista"/>
        <w:numPr>
          <w:ilvl w:val="0"/>
          <w:numId w:val="2"/>
        </w:numPr>
        <w:spacing w:after="100" w:line="276" w:lineRule="auto"/>
        <w:jc w:val="both"/>
      </w:pPr>
      <w:r>
        <w:rPr>
          <w:rFonts w:ascii="Arial" w:eastAsia="Arial" w:hAnsi="Arial" w:cs="Arial"/>
          <w:sz w:val="22"/>
          <w:szCs w:val="22"/>
        </w:rPr>
        <w:t>Reforzar las facultades de la CMF para sancionar cuando no se paga a tiempo</w:t>
      </w:r>
      <w:r w:rsidR="00BA66AC">
        <w:rPr>
          <w:rFonts w:ascii="Arial" w:eastAsia="Arial" w:hAnsi="Arial" w:cs="Arial"/>
          <w:sz w:val="22"/>
          <w:szCs w:val="22"/>
        </w:rPr>
        <w:t xml:space="preserve"> y con ello el aumento de multas a los infractores</w:t>
      </w:r>
      <w:r>
        <w:rPr>
          <w:rFonts w:ascii="Arial" w:eastAsia="Arial" w:hAnsi="Arial" w:cs="Arial"/>
          <w:sz w:val="22"/>
          <w:szCs w:val="22"/>
        </w:rPr>
        <w:t>.</w:t>
      </w:r>
    </w:p>
    <w:p w14:paraId="0E79B307" w14:textId="77777777" w:rsidR="001D5CF5" w:rsidRDefault="001D5CF5">
      <w:pPr>
        <w:spacing w:after="300" w:line="264" w:lineRule="auto"/>
        <w:jc w:val="both"/>
        <w:rPr>
          <w:rFonts w:ascii="Arial" w:eastAsia="Arial" w:hAnsi="Arial" w:cs="Arial"/>
          <w:sz w:val="22"/>
          <w:szCs w:val="22"/>
        </w:rPr>
      </w:pPr>
    </w:p>
    <w:p w14:paraId="76C4B896" w14:textId="77777777" w:rsidR="00BA66AC" w:rsidRDefault="001D5CF5">
      <w:pPr>
        <w:spacing w:after="300" w:line="264" w:lineRule="auto"/>
        <w:jc w:val="both"/>
        <w:rPr>
          <w:rFonts w:ascii="Arial" w:eastAsia="Arial" w:hAnsi="Arial" w:cs="Arial"/>
          <w:sz w:val="22"/>
          <w:szCs w:val="22"/>
        </w:rPr>
      </w:pPr>
      <w:r>
        <w:rPr>
          <w:rFonts w:ascii="Arial" w:eastAsia="Arial" w:hAnsi="Arial" w:cs="Arial"/>
          <w:sz w:val="22"/>
          <w:szCs w:val="22"/>
        </w:rPr>
        <w:t>E</w:t>
      </w:r>
      <w:r w:rsidR="00464835">
        <w:rPr>
          <w:rFonts w:ascii="Arial" w:eastAsia="Arial" w:hAnsi="Arial" w:cs="Arial"/>
          <w:sz w:val="22"/>
          <w:szCs w:val="22"/>
        </w:rPr>
        <w:t>sta propuesta apunta al nivel legal, que es donde está el vacío de fondo</w:t>
      </w:r>
      <w:r>
        <w:rPr>
          <w:rFonts w:ascii="Arial" w:eastAsia="Arial" w:hAnsi="Arial" w:cs="Arial"/>
          <w:sz w:val="22"/>
          <w:szCs w:val="22"/>
        </w:rPr>
        <w:t>, pero comparte también nuestra preocupación por el funcionamiento de la industria de seguros, la cual se ve mermada en su reputación por este tipo de situaciones</w:t>
      </w:r>
      <w:r w:rsidR="00464835">
        <w:rPr>
          <w:rFonts w:ascii="Arial" w:eastAsia="Arial" w:hAnsi="Arial" w:cs="Arial"/>
          <w:sz w:val="22"/>
          <w:szCs w:val="22"/>
        </w:rPr>
        <w:t xml:space="preserve">. </w:t>
      </w:r>
    </w:p>
    <w:p w14:paraId="4BEADEB6" w14:textId="498DBF6E" w:rsidR="001D5CF5" w:rsidRDefault="00BA66AC">
      <w:pPr>
        <w:spacing w:after="300" w:line="264" w:lineRule="auto"/>
        <w:jc w:val="both"/>
        <w:rPr>
          <w:rFonts w:ascii="Arial" w:eastAsia="Arial" w:hAnsi="Arial" w:cs="Arial"/>
          <w:sz w:val="22"/>
          <w:szCs w:val="22"/>
        </w:rPr>
      </w:pPr>
      <w:r>
        <w:rPr>
          <w:rFonts w:ascii="Arial" w:eastAsia="Arial" w:hAnsi="Arial" w:cs="Arial"/>
          <w:sz w:val="22"/>
          <w:szCs w:val="22"/>
        </w:rPr>
        <w:t>M</w:t>
      </w:r>
      <w:r w:rsidRPr="00BA66AC">
        <w:rPr>
          <w:rFonts w:ascii="Arial" w:eastAsia="Arial" w:hAnsi="Arial" w:cs="Arial"/>
          <w:sz w:val="22"/>
          <w:szCs w:val="22"/>
        </w:rPr>
        <w:t xml:space="preserve">ientras </w:t>
      </w:r>
      <w:r>
        <w:rPr>
          <w:rFonts w:ascii="Arial" w:eastAsia="Arial" w:hAnsi="Arial" w:cs="Arial"/>
          <w:sz w:val="22"/>
          <w:szCs w:val="22"/>
        </w:rPr>
        <w:t>no exista certidumbre</w:t>
      </w:r>
      <w:r w:rsidRPr="00BA66AC">
        <w:rPr>
          <w:rFonts w:ascii="Arial" w:eastAsia="Arial" w:hAnsi="Arial" w:cs="Arial"/>
          <w:sz w:val="22"/>
          <w:szCs w:val="22"/>
        </w:rPr>
        <w:t xml:space="preserve"> y a la vista de </w:t>
      </w:r>
      <w:r>
        <w:rPr>
          <w:rFonts w:ascii="Arial" w:eastAsia="Arial" w:hAnsi="Arial" w:cs="Arial"/>
          <w:sz w:val="22"/>
          <w:szCs w:val="22"/>
        </w:rPr>
        <w:t>las</w:t>
      </w:r>
      <w:r w:rsidRPr="00BA66AC">
        <w:rPr>
          <w:rFonts w:ascii="Arial" w:eastAsia="Arial" w:hAnsi="Arial" w:cs="Arial"/>
          <w:sz w:val="22"/>
          <w:szCs w:val="22"/>
        </w:rPr>
        <w:t xml:space="preserve"> acciones dilatoria</w:t>
      </w:r>
      <w:r>
        <w:rPr>
          <w:rFonts w:ascii="Arial" w:eastAsia="Arial" w:hAnsi="Arial" w:cs="Arial"/>
          <w:sz w:val="22"/>
          <w:szCs w:val="22"/>
        </w:rPr>
        <w:t xml:space="preserve">s </w:t>
      </w:r>
      <w:r w:rsidRPr="00BA66AC">
        <w:rPr>
          <w:rFonts w:ascii="Arial" w:eastAsia="Arial" w:hAnsi="Arial" w:cs="Arial"/>
          <w:sz w:val="22"/>
          <w:szCs w:val="22"/>
        </w:rPr>
        <w:t xml:space="preserve">de </w:t>
      </w:r>
      <w:r>
        <w:rPr>
          <w:rFonts w:ascii="Arial" w:eastAsia="Arial" w:hAnsi="Arial" w:cs="Arial"/>
          <w:sz w:val="22"/>
          <w:szCs w:val="22"/>
        </w:rPr>
        <w:t>é</w:t>
      </w:r>
      <w:r w:rsidRPr="00BA66AC">
        <w:rPr>
          <w:rFonts w:ascii="Arial" w:eastAsia="Arial" w:hAnsi="Arial" w:cs="Arial"/>
          <w:sz w:val="22"/>
          <w:szCs w:val="22"/>
        </w:rPr>
        <w:t xml:space="preserve">sta y otras tantas compañías con </w:t>
      </w:r>
      <w:r>
        <w:rPr>
          <w:rFonts w:ascii="Arial" w:eastAsia="Arial" w:hAnsi="Arial" w:cs="Arial"/>
          <w:sz w:val="22"/>
          <w:szCs w:val="22"/>
        </w:rPr>
        <w:t>la</w:t>
      </w:r>
      <w:r w:rsidRPr="00BA66AC">
        <w:rPr>
          <w:rFonts w:ascii="Arial" w:eastAsia="Arial" w:hAnsi="Arial" w:cs="Arial"/>
          <w:sz w:val="22"/>
          <w:szCs w:val="22"/>
        </w:rPr>
        <w:t xml:space="preserve"> "póliza de seguro</w:t>
      </w:r>
      <w:r>
        <w:rPr>
          <w:rFonts w:ascii="Arial" w:eastAsia="Arial" w:hAnsi="Arial" w:cs="Arial"/>
          <w:sz w:val="22"/>
          <w:szCs w:val="22"/>
        </w:rPr>
        <w:t xml:space="preserve"> </w:t>
      </w:r>
      <w:r w:rsidRPr="00BA66AC">
        <w:rPr>
          <w:rFonts w:ascii="Arial" w:eastAsia="Arial" w:hAnsi="Arial" w:cs="Arial"/>
          <w:sz w:val="22"/>
          <w:szCs w:val="22"/>
        </w:rPr>
        <w:t xml:space="preserve">de primer requerimiento", le comunicamos que mantenemos nuestra decisión de no aceptar este instrumento para asegurar ningún proyecto financiado con recursos del Gobierno Regional RM, sea aquellos ejecutados directamente o a través de </w:t>
      </w:r>
      <w:r>
        <w:rPr>
          <w:rFonts w:ascii="Arial" w:eastAsia="Arial" w:hAnsi="Arial" w:cs="Arial"/>
          <w:sz w:val="22"/>
          <w:szCs w:val="22"/>
        </w:rPr>
        <w:t>terceros</w:t>
      </w:r>
      <w:r w:rsidRPr="00BA66AC">
        <w:rPr>
          <w:rFonts w:ascii="Arial" w:eastAsia="Arial" w:hAnsi="Arial" w:cs="Arial"/>
          <w:sz w:val="22"/>
          <w:szCs w:val="22"/>
        </w:rPr>
        <w:t xml:space="preserve"> como los municipios.</w:t>
      </w:r>
    </w:p>
    <w:p w14:paraId="0B4C1052" w14:textId="77777777" w:rsidR="006E60F9" w:rsidRDefault="00464835">
      <w:pPr>
        <w:spacing w:line="276" w:lineRule="auto"/>
      </w:pPr>
      <w:r>
        <w:rPr>
          <w:rFonts w:ascii="Arial" w:eastAsia="Arial" w:hAnsi="Arial" w:cs="Arial"/>
          <w:sz w:val="22"/>
          <w:szCs w:val="22"/>
        </w:rPr>
        <w:t>Le saluda cordialmente,</w:t>
      </w:r>
    </w:p>
    <w:p w14:paraId="001ACE9E" w14:textId="77777777" w:rsidR="006E60F9" w:rsidRDefault="006E60F9">
      <w:pPr>
        <w:spacing w:after="100"/>
      </w:pPr>
    </w:p>
    <w:p w14:paraId="558089D7" w14:textId="77777777" w:rsidR="001D5CF5" w:rsidRDefault="001D5CF5">
      <w:pPr>
        <w:spacing w:after="100"/>
      </w:pPr>
    </w:p>
    <w:p w14:paraId="6B7F988E" w14:textId="77777777" w:rsidR="001D5CF5" w:rsidRDefault="001D5CF5">
      <w:pPr>
        <w:spacing w:after="100"/>
      </w:pPr>
    </w:p>
    <w:p w14:paraId="0CE5F8B5" w14:textId="77777777" w:rsidR="001D5CF5" w:rsidRDefault="001D5CF5">
      <w:pPr>
        <w:spacing w:after="100"/>
      </w:pPr>
    </w:p>
    <w:p w14:paraId="356508E1" w14:textId="77777777" w:rsidR="00BA66AC" w:rsidRDefault="00BA66AC">
      <w:pPr>
        <w:spacing w:after="100"/>
      </w:pPr>
    </w:p>
    <w:p w14:paraId="605BCE19" w14:textId="77777777" w:rsidR="00BA66AC" w:rsidRDefault="00BA66AC">
      <w:pPr>
        <w:spacing w:after="100"/>
      </w:pPr>
    </w:p>
    <w:p w14:paraId="55194A7D" w14:textId="77777777" w:rsidR="001D5CF5" w:rsidRDefault="001D5CF5">
      <w:pPr>
        <w:spacing w:after="100"/>
      </w:pPr>
    </w:p>
    <w:p w14:paraId="5A698A0E" w14:textId="77777777" w:rsidR="001D5CF5" w:rsidRDefault="001D5CF5">
      <w:pPr>
        <w:spacing w:after="100"/>
      </w:pPr>
    </w:p>
    <w:p w14:paraId="082F3868" w14:textId="77777777" w:rsidR="001D5CF5" w:rsidRDefault="001D5CF5">
      <w:pPr>
        <w:spacing w:after="100"/>
      </w:pPr>
    </w:p>
    <w:p w14:paraId="1F75390D" w14:textId="77777777" w:rsidR="006E60F9" w:rsidRDefault="00464835" w:rsidP="00BA66AC">
      <w:pPr>
        <w:spacing w:line="276" w:lineRule="auto"/>
        <w:jc w:val="center"/>
      </w:pPr>
      <w:r>
        <w:rPr>
          <w:rFonts w:ascii="Arial" w:eastAsia="Arial" w:hAnsi="Arial" w:cs="Arial"/>
          <w:b/>
          <w:bCs/>
          <w:sz w:val="22"/>
          <w:szCs w:val="22"/>
        </w:rPr>
        <w:t>CLAUDIO ORREGO LARRAÍN</w:t>
      </w:r>
    </w:p>
    <w:p w14:paraId="6F1A5D4C" w14:textId="77777777" w:rsidR="006E60F9" w:rsidRDefault="00464835" w:rsidP="00BA66AC">
      <w:pPr>
        <w:spacing w:line="276" w:lineRule="auto"/>
        <w:jc w:val="center"/>
      </w:pPr>
      <w:r>
        <w:rPr>
          <w:rFonts w:ascii="Arial" w:eastAsia="Arial" w:hAnsi="Arial" w:cs="Arial"/>
          <w:sz w:val="22"/>
          <w:szCs w:val="22"/>
        </w:rPr>
        <w:t>Gobernador Regional</w:t>
      </w:r>
    </w:p>
    <w:p w14:paraId="617A0FF6" w14:textId="77777777" w:rsidR="006E60F9" w:rsidRDefault="00464835" w:rsidP="00BA66AC">
      <w:pPr>
        <w:spacing w:line="276" w:lineRule="auto"/>
        <w:jc w:val="center"/>
      </w:pPr>
      <w:r>
        <w:rPr>
          <w:rFonts w:ascii="Arial" w:eastAsia="Arial" w:hAnsi="Arial" w:cs="Arial"/>
          <w:sz w:val="22"/>
          <w:szCs w:val="22"/>
        </w:rPr>
        <w:t>Gobierno Regional Metropolitano de Santiago</w:t>
      </w:r>
    </w:p>
    <w:sectPr w:rsidR="006E60F9">
      <w:footerReference w:type="default" r:id="rId8"/>
      <w:pgSz w:w="12240" w:h="15840"/>
      <w:pgMar w:top="960" w:right="1400" w:bottom="720" w:left="15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2EDD65" w14:textId="77777777" w:rsidR="00820D1D" w:rsidRDefault="00820D1D">
      <w:r>
        <w:separator/>
      </w:r>
    </w:p>
  </w:endnote>
  <w:endnote w:type="continuationSeparator" w:id="0">
    <w:p w14:paraId="451BC16F" w14:textId="77777777" w:rsidR="00820D1D" w:rsidRDefault="00820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6596DE" w14:textId="77777777" w:rsidR="006E60F9" w:rsidRDefault="00464835">
    <w:pPr>
      <w:pBdr>
        <w:top w:val="single" w:sz="4" w:space="6" w:color="999999"/>
      </w:pBdr>
      <w:jc w:val="center"/>
    </w:pPr>
    <w:r>
      <w:rPr>
        <w:rFonts w:ascii="Arial" w:eastAsia="Arial" w:hAnsi="Arial" w:cs="Arial"/>
        <w:color w:val="444444"/>
        <w:sz w:val="16"/>
        <w:szCs w:val="16"/>
      </w:rPr>
      <w:t>Bandera N°46 – Santiago de Chile – Tel. (56-2) 2250 9000 – www.gobiernosantiago.cl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0E3B86" w14:textId="77777777" w:rsidR="00820D1D" w:rsidRDefault="00820D1D">
      <w:r>
        <w:separator/>
      </w:r>
    </w:p>
  </w:footnote>
  <w:footnote w:type="continuationSeparator" w:id="0">
    <w:p w14:paraId="7342F0AC" w14:textId="77777777" w:rsidR="00820D1D" w:rsidRDefault="00820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8C34EB4"/>
    <w:multiLevelType w:val="hybridMultilevel"/>
    <w:tmpl w:val="FFFFFFFF"/>
    <w:lvl w:ilvl="0" w:tplc="3796C9EC">
      <w:start w:val="1"/>
      <w:numFmt w:val="bullet"/>
      <w:lvlText w:val="–"/>
      <w:lvlJc w:val="left"/>
      <w:pPr>
        <w:ind w:left="540" w:hanging="260"/>
      </w:pPr>
    </w:lvl>
    <w:lvl w:ilvl="1" w:tplc="EBBE55C6">
      <w:numFmt w:val="decimal"/>
      <w:lvlText w:val=""/>
      <w:lvlJc w:val="left"/>
    </w:lvl>
    <w:lvl w:ilvl="2" w:tplc="054C7F60">
      <w:numFmt w:val="decimal"/>
      <w:lvlText w:val=""/>
      <w:lvlJc w:val="left"/>
    </w:lvl>
    <w:lvl w:ilvl="3" w:tplc="09209308">
      <w:numFmt w:val="decimal"/>
      <w:lvlText w:val=""/>
      <w:lvlJc w:val="left"/>
    </w:lvl>
    <w:lvl w:ilvl="4" w:tplc="3264778A">
      <w:numFmt w:val="decimal"/>
      <w:lvlText w:val=""/>
      <w:lvlJc w:val="left"/>
    </w:lvl>
    <w:lvl w:ilvl="5" w:tplc="65BA2C30">
      <w:numFmt w:val="decimal"/>
      <w:lvlText w:val=""/>
      <w:lvlJc w:val="left"/>
    </w:lvl>
    <w:lvl w:ilvl="6" w:tplc="A0CAE0AA">
      <w:numFmt w:val="decimal"/>
      <w:lvlText w:val=""/>
      <w:lvlJc w:val="left"/>
    </w:lvl>
    <w:lvl w:ilvl="7" w:tplc="666A7192">
      <w:numFmt w:val="decimal"/>
      <w:lvlText w:val=""/>
      <w:lvlJc w:val="left"/>
    </w:lvl>
    <w:lvl w:ilvl="8" w:tplc="83FCF2F8">
      <w:numFmt w:val="decimal"/>
      <w:lvlText w:val=""/>
      <w:lvlJc w:val="left"/>
    </w:lvl>
  </w:abstractNum>
  <w:abstractNum w:abstractNumId="1" w15:restartNumberingAfterBreak="0">
    <w:nsid w:val="6F4757AA"/>
    <w:multiLevelType w:val="hybridMultilevel"/>
    <w:tmpl w:val="FFFFFFFF"/>
    <w:lvl w:ilvl="0" w:tplc="C85A9974">
      <w:start w:val="1"/>
      <w:numFmt w:val="bullet"/>
      <w:lvlText w:val="●"/>
      <w:lvlJc w:val="left"/>
      <w:pPr>
        <w:ind w:left="720" w:hanging="360"/>
      </w:pPr>
    </w:lvl>
    <w:lvl w:ilvl="1" w:tplc="7ABCDBAE">
      <w:start w:val="1"/>
      <w:numFmt w:val="bullet"/>
      <w:lvlText w:val="○"/>
      <w:lvlJc w:val="left"/>
      <w:pPr>
        <w:ind w:left="1440" w:hanging="360"/>
      </w:pPr>
    </w:lvl>
    <w:lvl w:ilvl="2" w:tplc="64D250D6">
      <w:start w:val="1"/>
      <w:numFmt w:val="bullet"/>
      <w:lvlText w:val="■"/>
      <w:lvlJc w:val="left"/>
      <w:pPr>
        <w:ind w:left="2160" w:hanging="360"/>
      </w:pPr>
    </w:lvl>
    <w:lvl w:ilvl="3" w:tplc="96F48F78">
      <w:start w:val="1"/>
      <w:numFmt w:val="bullet"/>
      <w:lvlText w:val="●"/>
      <w:lvlJc w:val="left"/>
      <w:pPr>
        <w:ind w:left="2880" w:hanging="360"/>
      </w:pPr>
    </w:lvl>
    <w:lvl w:ilvl="4" w:tplc="95347D06">
      <w:start w:val="1"/>
      <w:numFmt w:val="bullet"/>
      <w:lvlText w:val="○"/>
      <w:lvlJc w:val="left"/>
      <w:pPr>
        <w:ind w:left="3600" w:hanging="360"/>
      </w:pPr>
    </w:lvl>
    <w:lvl w:ilvl="5" w:tplc="EF403488">
      <w:start w:val="1"/>
      <w:numFmt w:val="bullet"/>
      <w:lvlText w:val="■"/>
      <w:lvlJc w:val="left"/>
      <w:pPr>
        <w:ind w:left="4320" w:hanging="360"/>
      </w:pPr>
    </w:lvl>
    <w:lvl w:ilvl="6" w:tplc="A22AD186">
      <w:start w:val="1"/>
      <w:numFmt w:val="bullet"/>
      <w:lvlText w:val="●"/>
      <w:lvlJc w:val="left"/>
      <w:pPr>
        <w:ind w:left="5040" w:hanging="360"/>
      </w:pPr>
    </w:lvl>
    <w:lvl w:ilvl="7" w:tplc="82F209C4">
      <w:start w:val="1"/>
      <w:numFmt w:val="bullet"/>
      <w:lvlText w:val="●"/>
      <w:lvlJc w:val="left"/>
      <w:pPr>
        <w:ind w:left="5760" w:hanging="360"/>
      </w:pPr>
    </w:lvl>
    <w:lvl w:ilvl="8" w:tplc="1E0AAA44">
      <w:start w:val="1"/>
      <w:numFmt w:val="bullet"/>
      <w:lvlText w:val="●"/>
      <w:lvlJc w:val="left"/>
      <w:pPr>
        <w:ind w:left="6480" w:hanging="360"/>
      </w:pPr>
    </w:lvl>
  </w:abstractNum>
  <w:num w:numId="1" w16cid:durableId="161704993">
    <w:abstractNumId w:val="1"/>
    <w:lvlOverride w:ilvl="0">
      <w:startOverride w:val="1"/>
    </w:lvlOverride>
  </w:num>
  <w:num w:numId="2" w16cid:durableId="133630199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0F9"/>
    <w:rsid w:val="00054355"/>
    <w:rsid w:val="000D6568"/>
    <w:rsid w:val="001D5CF5"/>
    <w:rsid w:val="003C4174"/>
    <w:rsid w:val="00464835"/>
    <w:rsid w:val="006E60F9"/>
    <w:rsid w:val="00820D1D"/>
    <w:rsid w:val="00AE7440"/>
    <w:rsid w:val="00BA66AC"/>
    <w:rsid w:val="00CA57EB"/>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ecimalSymbol w:val=","/>
  <w:listSeparator w:val=";"/>
  <w14:docId w14:val="7D71E910"/>
  <w15:docId w15:val="{25E9E6A1-D3FF-6249-8538-681A1FF4F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s-U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532</Words>
  <Characters>2686</Characters>
  <Application>Microsoft Office Word</Application>
  <DocSecurity>0</DocSecurity>
  <Lines>59</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Joaco Orellana</cp:lastModifiedBy>
  <cp:revision>3</cp:revision>
  <dcterms:created xsi:type="dcterms:W3CDTF">2026-08-06T12:57:00Z</dcterms:created>
  <dcterms:modified xsi:type="dcterms:W3CDTF">2026-08-06T13:05:00Z</dcterms:modified>
</cp:coreProperties>
</file>