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BB95E" w14:textId="07E3E9B5" w:rsidR="00D31DCC" w:rsidRDefault="00880CC3" w:rsidP="00B611B2">
      <w:pPr>
        <w:spacing w:before="240" w:after="0" w:line="240" w:lineRule="auto"/>
        <w:jc w:val="center"/>
        <w:rPr>
          <w:color w:val="44546A"/>
        </w:rPr>
      </w:pPr>
      <w:r>
        <w:rPr>
          <w:noProof/>
          <w:color w:val="000000"/>
        </w:rPr>
        <w:drawing>
          <wp:inline distT="0" distB="0" distL="0" distR="0" wp14:anchorId="4D896F8A" wp14:editId="2C88D01C">
            <wp:extent cx="1853342" cy="542586"/>
            <wp:effectExtent l="0" t="0" r="0" b="0"/>
            <wp:docPr id="1" name="image1.png" descr="Logotipo, nombre de la empres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tipo, nombre de la empresa&#10;&#10;Descripción generada automáticament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3342" cy="5425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0E0B2D" w14:textId="3DAB3FC8" w:rsidR="00992429" w:rsidRDefault="00E0061F" w:rsidP="00B611B2">
      <w:pPr>
        <w:spacing w:before="240" w:after="0" w:line="240" w:lineRule="auto"/>
        <w:rPr>
          <w:b/>
          <w:bCs/>
          <w:color w:val="44546A"/>
          <w:sz w:val="32"/>
          <w:szCs w:val="32"/>
        </w:rPr>
      </w:pPr>
      <w:r w:rsidRPr="00E0061F">
        <w:rPr>
          <w:b/>
          <w:bCs/>
          <w:sz w:val="24"/>
          <w:szCs w:val="24"/>
        </w:rPr>
        <w:t>Durante primer semestre de 2026</w:t>
      </w:r>
      <w:r>
        <w:rPr>
          <w:b/>
          <w:bCs/>
          <w:color w:val="44546A"/>
          <w:sz w:val="32"/>
          <w:szCs w:val="32"/>
        </w:rPr>
        <w:t>:</w:t>
      </w:r>
    </w:p>
    <w:p w14:paraId="0FE9E482" w14:textId="07FE5B91" w:rsidR="00FC5E83" w:rsidRPr="00B611B2" w:rsidRDefault="29FE83B1" w:rsidP="00B611B2">
      <w:pPr>
        <w:spacing w:before="240" w:after="0" w:line="240" w:lineRule="auto"/>
        <w:jc w:val="center"/>
        <w:rPr>
          <w:rFonts w:asciiTheme="majorHAnsi" w:eastAsiaTheme="majorEastAsia" w:hAnsiTheme="majorHAnsi" w:cstheme="majorBidi"/>
          <w:b/>
          <w:bCs/>
          <w:sz w:val="40"/>
          <w:szCs w:val="40"/>
        </w:rPr>
      </w:pPr>
      <w:r w:rsidRPr="00B611B2">
        <w:rPr>
          <w:rFonts w:asciiTheme="majorHAnsi" w:eastAsiaTheme="majorEastAsia" w:hAnsiTheme="majorHAnsi" w:cstheme="majorBidi"/>
          <w:b/>
          <w:bCs/>
          <w:sz w:val="40"/>
          <w:szCs w:val="40"/>
        </w:rPr>
        <w:t xml:space="preserve">Aguas Andinas </w:t>
      </w:r>
      <w:r w:rsidR="72DFAD1B" w:rsidRPr="00B611B2">
        <w:rPr>
          <w:rFonts w:asciiTheme="majorHAnsi" w:eastAsiaTheme="majorEastAsia" w:hAnsiTheme="majorHAnsi" w:cstheme="majorBidi"/>
          <w:b/>
          <w:bCs/>
          <w:sz w:val="40"/>
          <w:szCs w:val="40"/>
        </w:rPr>
        <w:t xml:space="preserve">muestra crecimiento de 7,5% en EBITDA </w:t>
      </w:r>
      <w:r w:rsidR="1F0755E2" w:rsidRPr="00B611B2">
        <w:rPr>
          <w:rFonts w:asciiTheme="majorHAnsi" w:eastAsiaTheme="majorEastAsia" w:hAnsiTheme="majorHAnsi" w:cstheme="majorBidi"/>
          <w:b/>
          <w:bCs/>
          <w:sz w:val="40"/>
          <w:szCs w:val="40"/>
        </w:rPr>
        <w:t xml:space="preserve">y de </w:t>
      </w:r>
      <w:r w:rsidR="1E885F43" w:rsidRPr="05868E4D">
        <w:rPr>
          <w:rFonts w:asciiTheme="majorHAnsi" w:eastAsiaTheme="majorEastAsia" w:hAnsiTheme="majorHAnsi" w:cstheme="majorBidi"/>
          <w:b/>
          <w:bCs/>
          <w:sz w:val="40"/>
          <w:szCs w:val="40"/>
        </w:rPr>
        <w:t>27</w:t>
      </w:r>
      <w:r w:rsidR="1F0755E2" w:rsidRPr="00B611B2">
        <w:rPr>
          <w:rFonts w:asciiTheme="majorHAnsi" w:eastAsiaTheme="majorEastAsia" w:hAnsiTheme="majorHAnsi" w:cstheme="majorBidi"/>
          <w:b/>
          <w:bCs/>
          <w:sz w:val="40"/>
          <w:szCs w:val="40"/>
        </w:rPr>
        <w:t>% en</w:t>
      </w:r>
      <w:r w:rsidR="4ED97676" w:rsidRPr="00B611B2">
        <w:rPr>
          <w:rFonts w:asciiTheme="majorHAnsi" w:eastAsiaTheme="majorEastAsia" w:hAnsiTheme="majorHAnsi" w:cstheme="majorBidi"/>
          <w:b/>
          <w:bCs/>
          <w:sz w:val="40"/>
          <w:szCs w:val="40"/>
        </w:rPr>
        <w:t xml:space="preserve"> sus inversiones </w:t>
      </w:r>
      <w:r w:rsidR="69A7E893" w:rsidRPr="05868E4D">
        <w:rPr>
          <w:rFonts w:asciiTheme="majorHAnsi" w:eastAsiaTheme="majorEastAsia" w:hAnsiTheme="majorHAnsi" w:cstheme="majorBidi"/>
          <w:b/>
          <w:bCs/>
          <w:sz w:val="40"/>
          <w:szCs w:val="40"/>
        </w:rPr>
        <w:t>con foco</w:t>
      </w:r>
      <w:r w:rsidR="4ED97676" w:rsidRPr="00B611B2">
        <w:rPr>
          <w:rFonts w:asciiTheme="majorHAnsi" w:eastAsiaTheme="majorEastAsia" w:hAnsiTheme="majorHAnsi" w:cstheme="majorBidi"/>
          <w:b/>
          <w:bCs/>
          <w:sz w:val="40"/>
          <w:szCs w:val="40"/>
        </w:rPr>
        <w:t xml:space="preserve"> </w:t>
      </w:r>
      <w:r w:rsidR="00DA4E1B">
        <w:br/>
      </w:r>
      <w:r w:rsidR="4FD87949" w:rsidRPr="00B611B2">
        <w:rPr>
          <w:rFonts w:asciiTheme="majorHAnsi" w:eastAsiaTheme="majorEastAsia" w:hAnsiTheme="majorHAnsi" w:cstheme="majorBidi"/>
          <w:b/>
          <w:bCs/>
          <w:sz w:val="40"/>
          <w:szCs w:val="40"/>
        </w:rPr>
        <w:t>en la</w:t>
      </w:r>
      <w:r w:rsidR="57CA8111" w:rsidRPr="00B611B2">
        <w:rPr>
          <w:rFonts w:asciiTheme="majorHAnsi" w:eastAsiaTheme="majorEastAsia" w:hAnsiTheme="majorHAnsi" w:cstheme="majorBidi"/>
          <w:b/>
          <w:bCs/>
          <w:sz w:val="40"/>
          <w:szCs w:val="40"/>
        </w:rPr>
        <w:t xml:space="preserve"> seguridad</w:t>
      </w:r>
      <w:r w:rsidR="4ED97676" w:rsidRPr="00B611B2">
        <w:rPr>
          <w:rFonts w:asciiTheme="majorHAnsi" w:eastAsiaTheme="majorEastAsia" w:hAnsiTheme="majorHAnsi" w:cstheme="majorBidi"/>
          <w:b/>
          <w:bCs/>
          <w:sz w:val="40"/>
          <w:szCs w:val="40"/>
        </w:rPr>
        <w:t xml:space="preserve"> hídrica </w:t>
      </w:r>
      <w:r w:rsidR="5EFBE8A3" w:rsidRPr="05868E4D">
        <w:rPr>
          <w:rFonts w:asciiTheme="majorHAnsi" w:eastAsiaTheme="majorEastAsia" w:hAnsiTheme="majorHAnsi" w:cstheme="majorBidi"/>
          <w:b/>
          <w:bCs/>
          <w:sz w:val="40"/>
          <w:szCs w:val="40"/>
        </w:rPr>
        <w:t>de</w:t>
      </w:r>
      <w:r w:rsidR="4ED97676" w:rsidRPr="00B611B2">
        <w:rPr>
          <w:rFonts w:asciiTheme="majorHAnsi" w:eastAsiaTheme="majorEastAsia" w:hAnsiTheme="majorHAnsi" w:cstheme="majorBidi"/>
          <w:b/>
          <w:bCs/>
          <w:sz w:val="40"/>
          <w:szCs w:val="40"/>
        </w:rPr>
        <w:t xml:space="preserve"> la Región Metropolitana</w:t>
      </w:r>
      <w:r w:rsidR="5EE72121" w:rsidRPr="00B611B2">
        <w:rPr>
          <w:rFonts w:asciiTheme="majorHAnsi" w:eastAsiaTheme="majorEastAsia" w:hAnsiTheme="majorHAnsi" w:cstheme="majorBidi"/>
          <w:b/>
          <w:bCs/>
          <w:sz w:val="40"/>
          <w:szCs w:val="40"/>
        </w:rPr>
        <w:t xml:space="preserve"> </w:t>
      </w:r>
    </w:p>
    <w:p w14:paraId="0DFF0CDF" w14:textId="1D64D910" w:rsidR="00E0061F" w:rsidRDefault="00DD430C" w:rsidP="00B611B2">
      <w:pPr>
        <w:pStyle w:val="Prrafodelista"/>
        <w:numPr>
          <w:ilvl w:val="0"/>
          <w:numId w:val="6"/>
        </w:numPr>
        <w:spacing w:before="240" w:after="0" w:line="240" w:lineRule="auto"/>
        <w:jc w:val="both"/>
        <w:rPr>
          <w:rFonts w:asciiTheme="majorHAnsi" w:eastAsiaTheme="majorEastAsia" w:hAnsiTheme="majorHAnsi" w:cstheme="majorBidi"/>
          <w:i/>
          <w:iCs/>
          <w:sz w:val="24"/>
          <w:szCs w:val="24"/>
        </w:rPr>
      </w:pPr>
      <w:r w:rsidRPr="00B611B2">
        <w:rPr>
          <w:rFonts w:asciiTheme="majorHAnsi" w:eastAsiaTheme="majorEastAsia" w:hAnsiTheme="majorHAnsi" w:cstheme="majorBidi"/>
          <w:i/>
          <w:iCs/>
          <w:sz w:val="24"/>
          <w:szCs w:val="24"/>
        </w:rPr>
        <w:t xml:space="preserve">Frente a </w:t>
      </w:r>
      <w:r w:rsidR="00E0061F" w:rsidRPr="00B611B2">
        <w:rPr>
          <w:rFonts w:asciiTheme="majorHAnsi" w:eastAsiaTheme="majorEastAsia" w:hAnsiTheme="majorHAnsi" w:cstheme="majorBidi"/>
          <w:i/>
          <w:iCs/>
          <w:sz w:val="24"/>
          <w:szCs w:val="24"/>
        </w:rPr>
        <w:t>los impactos de</w:t>
      </w:r>
      <w:r w:rsidR="62DF8711" w:rsidRPr="00B611B2">
        <w:rPr>
          <w:rFonts w:asciiTheme="majorHAnsi" w:eastAsiaTheme="majorEastAsia" w:hAnsiTheme="majorHAnsi" w:cstheme="majorBidi"/>
          <w:i/>
          <w:iCs/>
          <w:sz w:val="24"/>
          <w:szCs w:val="24"/>
        </w:rPr>
        <w:t>l contexto c</w:t>
      </w:r>
      <w:r w:rsidRPr="00B611B2">
        <w:rPr>
          <w:rFonts w:asciiTheme="majorHAnsi" w:eastAsiaTheme="majorEastAsia" w:hAnsiTheme="majorHAnsi" w:cstheme="majorBidi"/>
          <w:i/>
          <w:iCs/>
          <w:sz w:val="24"/>
          <w:szCs w:val="24"/>
        </w:rPr>
        <w:t>limátic</w:t>
      </w:r>
      <w:r w:rsidR="2EA91518" w:rsidRPr="00B611B2">
        <w:rPr>
          <w:rFonts w:asciiTheme="majorHAnsi" w:eastAsiaTheme="majorEastAsia" w:hAnsiTheme="majorHAnsi" w:cstheme="majorBidi"/>
          <w:i/>
          <w:iCs/>
          <w:sz w:val="24"/>
          <w:szCs w:val="24"/>
        </w:rPr>
        <w:t>o</w:t>
      </w:r>
      <w:r w:rsidRPr="00B611B2">
        <w:rPr>
          <w:rFonts w:asciiTheme="majorHAnsi" w:eastAsiaTheme="majorEastAsia" w:hAnsiTheme="majorHAnsi" w:cstheme="majorBidi"/>
          <w:i/>
          <w:iCs/>
          <w:sz w:val="24"/>
          <w:szCs w:val="24"/>
        </w:rPr>
        <w:t xml:space="preserve">, la compañía </w:t>
      </w:r>
      <w:r w:rsidR="00E0061F" w:rsidRPr="00B611B2">
        <w:rPr>
          <w:rFonts w:asciiTheme="majorHAnsi" w:eastAsiaTheme="majorEastAsia" w:hAnsiTheme="majorHAnsi" w:cstheme="majorBidi"/>
          <w:i/>
          <w:iCs/>
          <w:sz w:val="24"/>
          <w:szCs w:val="24"/>
        </w:rPr>
        <w:t xml:space="preserve">ha desplegado </w:t>
      </w:r>
      <w:r w:rsidR="004724BD" w:rsidRPr="00B611B2">
        <w:rPr>
          <w:rFonts w:asciiTheme="majorHAnsi" w:eastAsiaTheme="majorEastAsia" w:hAnsiTheme="majorHAnsi" w:cstheme="majorBidi"/>
          <w:i/>
          <w:iCs/>
          <w:sz w:val="24"/>
          <w:szCs w:val="24"/>
        </w:rPr>
        <w:t xml:space="preserve">un </w:t>
      </w:r>
      <w:r w:rsidR="375DDE3D" w:rsidRPr="00B611B2">
        <w:rPr>
          <w:rFonts w:asciiTheme="majorHAnsi" w:eastAsiaTheme="majorEastAsia" w:hAnsiTheme="majorHAnsi" w:cstheme="majorBidi"/>
          <w:i/>
          <w:iCs/>
          <w:sz w:val="24"/>
          <w:szCs w:val="24"/>
        </w:rPr>
        <w:t>robusto</w:t>
      </w:r>
      <w:r w:rsidR="00E0061F" w:rsidRPr="00B611B2">
        <w:rPr>
          <w:rFonts w:asciiTheme="majorHAnsi" w:eastAsiaTheme="majorEastAsia" w:hAnsiTheme="majorHAnsi" w:cstheme="majorBidi"/>
          <w:i/>
          <w:iCs/>
          <w:sz w:val="24"/>
          <w:szCs w:val="24"/>
        </w:rPr>
        <w:t xml:space="preserve"> </w:t>
      </w:r>
      <w:r w:rsidR="004724BD" w:rsidRPr="00B611B2">
        <w:rPr>
          <w:rFonts w:asciiTheme="majorHAnsi" w:eastAsiaTheme="majorEastAsia" w:hAnsiTheme="majorHAnsi" w:cstheme="majorBidi"/>
          <w:i/>
          <w:iCs/>
          <w:sz w:val="24"/>
          <w:szCs w:val="24"/>
        </w:rPr>
        <w:t xml:space="preserve">plan de inversiones para garantizar </w:t>
      </w:r>
      <w:r w:rsidR="00E0061F" w:rsidRPr="00B611B2">
        <w:rPr>
          <w:rFonts w:asciiTheme="majorHAnsi" w:eastAsiaTheme="majorEastAsia" w:hAnsiTheme="majorHAnsi" w:cstheme="majorBidi"/>
          <w:i/>
          <w:iCs/>
          <w:sz w:val="24"/>
          <w:szCs w:val="24"/>
        </w:rPr>
        <w:t xml:space="preserve">el suministro aún en condiciones climáticas adversas, el que superó los $ 90 mil millones durante los primeros seis meses del año. </w:t>
      </w:r>
      <w:r w:rsidR="00AF4CB1" w:rsidRPr="00B611B2">
        <w:rPr>
          <w:rFonts w:asciiTheme="majorHAnsi" w:eastAsiaTheme="majorEastAsia" w:hAnsiTheme="majorHAnsi" w:cstheme="majorBidi"/>
          <w:i/>
          <w:iCs/>
          <w:sz w:val="24"/>
          <w:szCs w:val="24"/>
        </w:rPr>
        <w:t xml:space="preserve">Entre las obras destacan </w:t>
      </w:r>
      <w:r w:rsidR="00242424" w:rsidRPr="00B611B2">
        <w:rPr>
          <w:rFonts w:asciiTheme="majorHAnsi" w:eastAsiaTheme="majorEastAsia" w:hAnsiTheme="majorHAnsi" w:cstheme="majorBidi"/>
          <w:i/>
          <w:iCs/>
          <w:sz w:val="24"/>
          <w:szCs w:val="24"/>
        </w:rPr>
        <w:t>la renovación de redes de agua potable y alcantarillado</w:t>
      </w:r>
      <w:r w:rsidR="00B8402A" w:rsidRPr="00B611B2">
        <w:rPr>
          <w:rFonts w:asciiTheme="majorHAnsi" w:eastAsiaTheme="majorEastAsia" w:hAnsiTheme="majorHAnsi" w:cstheme="majorBidi"/>
          <w:i/>
          <w:iCs/>
          <w:sz w:val="24"/>
          <w:szCs w:val="24"/>
        </w:rPr>
        <w:t xml:space="preserve">, </w:t>
      </w:r>
      <w:r w:rsidR="00242424" w:rsidRPr="00B611B2">
        <w:rPr>
          <w:rFonts w:asciiTheme="majorHAnsi" w:eastAsiaTheme="majorEastAsia" w:hAnsiTheme="majorHAnsi" w:cstheme="majorBidi"/>
          <w:i/>
          <w:iCs/>
          <w:sz w:val="24"/>
          <w:szCs w:val="24"/>
        </w:rPr>
        <w:t>modernización de arranques</w:t>
      </w:r>
      <w:r w:rsidR="005E0499" w:rsidRPr="00B611B2">
        <w:rPr>
          <w:rFonts w:asciiTheme="majorHAnsi" w:eastAsiaTheme="majorEastAsia" w:hAnsiTheme="majorHAnsi" w:cstheme="majorBidi"/>
          <w:i/>
          <w:iCs/>
          <w:sz w:val="24"/>
          <w:szCs w:val="24"/>
        </w:rPr>
        <w:t xml:space="preserve">, </w:t>
      </w:r>
      <w:r w:rsidR="00242424" w:rsidRPr="00B611B2">
        <w:rPr>
          <w:rFonts w:asciiTheme="majorHAnsi" w:eastAsiaTheme="majorEastAsia" w:hAnsiTheme="majorHAnsi" w:cstheme="majorBidi"/>
          <w:i/>
          <w:iCs/>
          <w:sz w:val="24"/>
          <w:szCs w:val="24"/>
        </w:rPr>
        <w:t xml:space="preserve">sondajes y refuerzos del sistema de abastecimiento de agua </w:t>
      </w:r>
      <w:r w:rsidR="00E0061F" w:rsidRPr="00B611B2">
        <w:rPr>
          <w:rFonts w:asciiTheme="majorHAnsi" w:eastAsiaTheme="majorEastAsia" w:hAnsiTheme="majorHAnsi" w:cstheme="majorBidi"/>
          <w:i/>
          <w:iCs/>
          <w:sz w:val="24"/>
          <w:szCs w:val="24"/>
        </w:rPr>
        <w:t xml:space="preserve">con foco en el </w:t>
      </w:r>
      <w:r w:rsidR="00242424" w:rsidRPr="00B611B2">
        <w:rPr>
          <w:rFonts w:asciiTheme="majorHAnsi" w:eastAsiaTheme="majorEastAsia" w:hAnsiTheme="majorHAnsi" w:cstheme="majorBidi"/>
          <w:i/>
          <w:iCs/>
          <w:sz w:val="24"/>
          <w:szCs w:val="24"/>
        </w:rPr>
        <w:t xml:space="preserve">plan de eficiencia hidráulica. </w:t>
      </w:r>
    </w:p>
    <w:p w14:paraId="363FE56D" w14:textId="177942E3" w:rsidR="00CB2C04" w:rsidRPr="00CB2C04" w:rsidRDefault="00CB2C04" w:rsidP="00CB2C04">
      <w:pPr>
        <w:pStyle w:val="Prrafodelista"/>
        <w:numPr>
          <w:ilvl w:val="0"/>
          <w:numId w:val="6"/>
        </w:numPr>
        <w:spacing w:before="240" w:after="0" w:line="240" w:lineRule="auto"/>
        <w:jc w:val="both"/>
        <w:rPr>
          <w:rFonts w:asciiTheme="majorHAnsi" w:eastAsiaTheme="majorEastAsia" w:hAnsiTheme="majorHAnsi" w:cstheme="majorBidi"/>
          <w:b/>
          <w:bCs/>
          <w:i/>
          <w:iCs/>
          <w:sz w:val="24"/>
          <w:szCs w:val="24"/>
          <w:lang w:val="es-ES"/>
        </w:rPr>
      </w:pPr>
      <w:r>
        <w:rPr>
          <w:rFonts w:asciiTheme="majorHAnsi" w:eastAsiaTheme="majorEastAsia" w:hAnsiTheme="majorHAnsi" w:cstheme="majorBidi"/>
          <w:i/>
          <w:iCs/>
          <w:sz w:val="24"/>
          <w:szCs w:val="24"/>
        </w:rPr>
        <w:t xml:space="preserve">El </w:t>
      </w:r>
      <w:r w:rsidR="003803EF">
        <w:rPr>
          <w:rFonts w:asciiTheme="majorHAnsi" w:eastAsiaTheme="majorEastAsia" w:hAnsiTheme="majorHAnsi" w:cstheme="majorBidi"/>
          <w:i/>
          <w:iCs/>
          <w:sz w:val="24"/>
          <w:szCs w:val="24"/>
        </w:rPr>
        <w:t>incremento</w:t>
      </w:r>
      <w:r>
        <w:rPr>
          <w:rFonts w:asciiTheme="majorHAnsi" w:eastAsiaTheme="majorEastAsia" w:hAnsiTheme="majorHAnsi" w:cstheme="majorBidi"/>
          <w:i/>
          <w:iCs/>
          <w:sz w:val="24"/>
          <w:szCs w:val="24"/>
        </w:rPr>
        <w:t xml:space="preserve"> de 7,5% a</w:t>
      </w:r>
      <w:r w:rsidRPr="00B611B2">
        <w:rPr>
          <w:rFonts w:asciiTheme="majorHAnsi" w:eastAsiaTheme="majorEastAsia" w:hAnsiTheme="majorHAnsi" w:cstheme="majorBidi"/>
          <w:i/>
          <w:iCs/>
          <w:sz w:val="24"/>
          <w:szCs w:val="24"/>
        </w:rPr>
        <w:t xml:space="preserve"> nivel de EBITDA </w:t>
      </w:r>
      <w:r>
        <w:rPr>
          <w:rFonts w:asciiTheme="majorHAnsi" w:eastAsiaTheme="majorEastAsia" w:hAnsiTheme="majorHAnsi" w:cstheme="majorBidi"/>
          <w:i/>
          <w:iCs/>
          <w:sz w:val="24"/>
          <w:szCs w:val="24"/>
        </w:rPr>
        <w:t xml:space="preserve">respecto </w:t>
      </w:r>
      <w:r w:rsidRPr="00B611B2">
        <w:rPr>
          <w:rFonts w:asciiTheme="majorHAnsi" w:eastAsiaTheme="majorEastAsia" w:hAnsiTheme="majorHAnsi" w:cstheme="majorBidi"/>
          <w:i/>
          <w:iCs/>
          <w:sz w:val="24"/>
          <w:szCs w:val="24"/>
        </w:rPr>
        <w:t>del mismo periodo del año anterior</w:t>
      </w:r>
      <w:r>
        <w:rPr>
          <w:rFonts w:asciiTheme="majorHAnsi" w:eastAsiaTheme="majorEastAsia" w:hAnsiTheme="majorHAnsi" w:cstheme="majorBidi"/>
          <w:i/>
          <w:iCs/>
          <w:sz w:val="24"/>
          <w:szCs w:val="24"/>
        </w:rPr>
        <w:t xml:space="preserve"> </w:t>
      </w:r>
      <w:r w:rsidRPr="00B611B2">
        <w:rPr>
          <w:rFonts w:asciiTheme="majorHAnsi" w:eastAsiaTheme="majorEastAsia" w:hAnsiTheme="majorHAnsi" w:cstheme="majorBidi"/>
          <w:i/>
          <w:iCs/>
          <w:sz w:val="24"/>
          <w:szCs w:val="24"/>
        </w:rPr>
        <w:t>consolid</w:t>
      </w:r>
      <w:r>
        <w:rPr>
          <w:rFonts w:asciiTheme="majorHAnsi" w:eastAsiaTheme="majorEastAsia" w:hAnsiTheme="majorHAnsi" w:cstheme="majorBidi"/>
          <w:i/>
          <w:iCs/>
          <w:sz w:val="24"/>
          <w:szCs w:val="24"/>
        </w:rPr>
        <w:t>ó</w:t>
      </w:r>
      <w:r w:rsidRPr="00B611B2">
        <w:rPr>
          <w:rFonts w:asciiTheme="majorHAnsi" w:eastAsiaTheme="majorEastAsia" w:hAnsiTheme="majorHAnsi" w:cstheme="majorBidi"/>
          <w:i/>
          <w:iCs/>
          <w:sz w:val="24"/>
          <w:szCs w:val="24"/>
        </w:rPr>
        <w:t xml:space="preserve"> utilidades por $77.526</w:t>
      </w:r>
      <w:r w:rsidRPr="00B611B2">
        <w:rPr>
          <w:rFonts w:asciiTheme="majorHAnsi" w:eastAsiaTheme="majorEastAsia" w:hAnsiTheme="majorHAnsi" w:cstheme="majorBidi"/>
          <w:i/>
          <w:iCs/>
          <w:sz w:val="24"/>
          <w:szCs w:val="24"/>
          <w:lang w:val="es-ES"/>
        </w:rPr>
        <w:t> </w:t>
      </w:r>
      <w:r w:rsidRPr="00B611B2">
        <w:rPr>
          <w:rFonts w:asciiTheme="majorHAnsi" w:eastAsiaTheme="majorEastAsia" w:hAnsiTheme="majorHAnsi" w:cstheme="majorBidi"/>
          <w:i/>
          <w:iCs/>
          <w:sz w:val="24"/>
          <w:szCs w:val="24"/>
        </w:rPr>
        <w:t>millones</w:t>
      </w:r>
      <w:r w:rsidRPr="00B611B2">
        <w:rPr>
          <w:rFonts w:asciiTheme="majorHAnsi" w:eastAsiaTheme="majorEastAsia" w:hAnsiTheme="majorHAnsi" w:cstheme="majorBidi"/>
          <w:i/>
          <w:iCs/>
          <w:sz w:val="24"/>
          <w:szCs w:val="24"/>
          <w:lang w:val="es-ES"/>
        </w:rPr>
        <w:t>.</w:t>
      </w:r>
    </w:p>
    <w:p w14:paraId="5B6FD6C7" w14:textId="2F1ABD08" w:rsidR="00245B55" w:rsidRDefault="2C63953A" w:rsidP="00B611B2">
      <w:pPr>
        <w:spacing w:before="240" w:after="0" w:line="240" w:lineRule="auto"/>
        <w:rPr>
          <w:rFonts w:asciiTheme="majorHAnsi" w:eastAsiaTheme="majorEastAsia" w:hAnsiTheme="majorHAnsi" w:cstheme="majorBidi"/>
          <w:sz w:val="24"/>
          <w:szCs w:val="24"/>
          <w:lang w:val="es-ES"/>
        </w:rPr>
      </w:pPr>
      <w:r w:rsidRPr="00B611B2">
        <w:rPr>
          <w:rFonts w:asciiTheme="majorHAnsi" w:eastAsiaTheme="majorEastAsia" w:hAnsiTheme="majorHAnsi" w:cstheme="majorBidi"/>
          <w:b/>
          <w:bCs/>
          <w:i/>
          <w:iCs/>
          <w:sz w:val="24"/>
          <w:szCs w:val="24"/>
        </w:rPr>
        <w:t>Santiago, 2</w:t>
      </w:r>
      <w:r w:rsidR="00671466">
        <w:rPr>
          <w:rFonts w:asciiTheme="majorHAnsi" w:eastAsiaTheme="majorEastAsia" w:hAnsiTheme="majorHAnsi" w:cstheme="majorBidi"/>
          <w:b/>
          <w:bCs/>
          <w:i/>
          <w:iCs/>
          <w:sz w:val="24"/>
          <w:szCs w:val="24"/>
        </w:rPr>
        <w:t>0</w:t>
      </w:r>
      <w:r w:rsidRPr="00B611B2">
        <w:rPr>
          <w:rFonts w:asciiTheme="majorHAnsi" w:eastAsiaTheme="majorEastAsia" w:hAnsiTheme="majorHAnsi" w:cstheme="majorBidi"/>
          <w:b/>
          <w:bCs/>
          <w:i/>
          <w:iCs/>
          <w:sz w:val="24"/>
          <w:szCs w:val="24"/>
        </w:rPr>
        <w:t xml:space="preserve"> de agosto de 2026.-</w:t>
      </w:r>
      <w:r w:rsidRPr="00B611B2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</w:t>
      </w:r>
      <w:r w:rsidRPr="00B611B2">
        <w:rPr>
          <w:rFonts w:asciiTheme="majorHAnsi" w:eastAsiaTheme="majorEastAsia" w:hAnsiTheme="majorHAnsi" w:cstheme="majorBidi"/>
          <w:sz w:val="24"/>
          <w:szCs w:val="24"/>
        </w:rPr>
        <w:t>Con el fin de fortalecer la infraestructura sanitaria de</w:t>
      </w:r>
      <w:r w:rsidR="57CA8111" w:rsidRPr="00B611B2">
        <w:rPr>
          <w:rFonts w:asciiTheme="majorHAnsi" w:eastAsiaTheme="majorEastAsia" w:hAnsiTheme="majorHAnsi" w:cstheme="majorBidi"/>
          <w:sz w:val="24"/>
          <w:szCs w:val="24"/>
        </w:rPr>
        <w:t xml:space="preserve"> la Región Metropolitana, </w:t>
      </w:r>
      <w:r w:rsidRPr="00B611B2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Aguas Andinas </w:t>
      </w:r>
      <w:r w:rsidR="4C151C40" w:rsidRPr="00B611B2">
        <w:rPr>
          <w:rFonts w:asciiTheme="majorHAnsi" w:eastAsiaTheme="majorEastAsia" w:hAnsiTheme="majorHAnsi" w:cstheme="majorBidi"/>
          <w:b/>
          <w:bCs/>
          <w:sz w:val="24"/>
          <w:szCs w:val="24"/>
        </w:rPr>
        <w:t>ejecutó inversiones por $91</w:t>
      </w:r>
      <w:r w:rsidR="4C151C40" w:rsidRPr="00B611B2">
        <w:rPr>
          <w:rFonts w:asciiTheme="majorHAnsi" w:eastAsiaTheme="majorEastAsia" w:hAnsiTheme="majorHAnsi" w:cstheme="majorBidi"/>
          <w:b/>
          <w:bCs/>
          <w:sz w:val="24"/>
          <w:szCs w:val="24"/>
          <w:lang w:val="es-ES"/>
        </w:rPr>
        <w:t xml:space="preserve">.614 </w:t>
      </w:r>
      <w:r w:rsidR="4C151C40" w:rsidRPr="00B611B2">
        <w:rPr>
          <w:rFonts w:asciiTheme="majorHAnsi" w:eastAsiaTheme="majorEastAsia" w:hAnsiTheme="majorHAnsi" w:cstheme="majorBidi"/>
          <w:b/>
          <w:bCs/>
          <w:sz w:val="24"/>
          <w:szCs w:val="24"/>
        </w:rPr>
        <w:t>millones</w:t>
      </w:r>
      <w:r w:rsidR="57CA8111" w:rsidRPr="00B611B2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durante el primer semestre de 2026</w:t>
      </w:r>
      <w:r w:rsidR="4C151C40" w:rsidRPr="00B611B2">
        <w:rPr>
          <w:rFonts w:asciiTheme="majorHAnsi" w:eastAsiaTheme="majorEastAsia" w:hAnsiTheme="majorHAnsi" w:cstheme="majorBidi"/>
          <w:b/>
          <w:bCs/>
          <w:sz w:val="24"/>
          <w:szCs w:val="24"/>
        </w:rPr>
        <w:t>,</w:t>
      </w:r>
      <w:r w:rsidR="57CA8111" w:rsidRPr="00B611B2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es decir, </w:t>
      </w:r>
      <w:r w:rsidR="2AAC6053" w:rsidRPr="05868E4D">
        <w:rPr>
          <w:rFonts w:asciiTheme="majorHAnsi" w:eastAsiaTheme="majorEastAsia" w:hAnsiTheme="majorHAnsi" w:cstheme="majorBidi"/>
          <w:b/>
          <w:bCs/>
          <w:sz w:val="24"/>
          <w:szCs w:val="24"/>
        </w:rPr>
        <w:t>27</w:t>
      </w:r>
      <w:r w:rsidR="6754506D" w:rsidRPr="00B611B2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% más </w:t>
      </w:r>
      <w:r w:rsidR="2137DE63" w:rsidRPr="00B611B2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que </w:t>
      </w:r>
      <w:r w:rsidR="57CA8111" w:rsidRPr="00B611B2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en </w:t>
      </w:r>
      <w:r w:rsidR="2137DE63" w:rsidRPr="00B611B2">
        <w:rPr>
          <w:rFonts w:asciiTheme="majorHAnsi" w:eastAsiaTheme="majorEastAsia" w:hAnsiTheme="majorHAnsi" w:cstheme="majorBidi"/>
          <w:b/>
          <w:bCs/>
          <w:sz w:val="24"/>
          <w:szCs w:val="24"/>
        </w:rPr>
        <w:t>el mismo período de 2025</w:t>
      </w:r>
      <w:r w:rsidR="57CA8111" w:rsidRPr="00B611B2">
        <w:rPr>
          <w:rFonts w:asciiTheme="majorHAnsi" w:eastAsiaTheme="majorEastAsia" w:hAnsiTheme="majorHAnsi" w:cstheme="majorBidi"/>
          <w:b/>
          <w:bCs/>
          <w:sz w:val="24"/>
          <w:szCs w:val="24"/>
        </w:rPr>
        <w:t>.</w:t>
      </w:r>
      <w:r w:rsidR="4DFD64D7" w:rsidRPr="00B611B2">
        <w:rPr>
          <w:rFonts w:asciiTheme="majorHAnsi" w:eastAsiaTheme="majorEastAsia" w:hAnsiTheme="majorHAnsi" w:cstheme="majorBidi"/>
          <w:sz w:val="24"/>
          <w:szCs w:val="24"/>
        </w:rPr>
        <w:t xml:space="preserve"> El foco de las obras </w:t>
      </w:r>
      <w:r w:rsidR="5F9AB2DA" w:rsidRPr="00B611B2">
        <w:rPr>
          <w:rFonts w:asciiTheme="majorHAnsi" w:eastAsiaTheme="majorEastAsia" w:hAnsiTheme="majorHAnsi" w:cstheme="majorBidi"/>
          <w:sz w:val="24"/>
          <w:szCs w:val="24"/>
        </w:rPr>
        <w:t>se centr</w:t>
      </w:r>
      <w:r w:rsidR="57CA8111" w:rsidRPr="00B611B2">
        <w:rPr>
          <w:rFonts w:asciiTheme="majorHAnsi" w:eastAsiaTheme="majorEastAsia" w:hAnsiTheme="majorHAnsi" w:cstheme="majorBidi"/>
          <w:sz w:val="24"/>
          <w:szCs w:val="24"/>
        </w:rPr>
        <w:t>ó</w:t>
      </w:r>
      <w:r w:rsidR="5F9AB2DA" w:rsidRPr="00B611B2">
        <w:rPr>
          <w:rFonts w:asciiTheme="majorHAnsi" w:eastAsiaTheme="majorEastAsia" w:hAnsiTheme="majorHAnsi" w:cstheme="majorBidi"/>
          <w:sz w:val="24"/>
          <w:szCs w:val="24"/>
        </w:rPr>
        <w:t xml:space="preserve"> en</w:t>
      </w:r>
      <w:r w:rsidR="2137DE63" w:rsidRPr="00B611B2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 w:rsidR="3895F8FD" w:rsidRPr="00B611B2">
        <w:rPr>
          <w:rFonts w:asciiTheme="majorHAnsi" w:eastAsiaTheme="majorEastAsia" w:hAnsiTheme="majorHAnsi" w:cstheme="majorBidi"/>
          <w:sz w:val="24"/>
          <w:szCs w:val="24"/>
        </w:rPr>
        <w:t>seguridad hídrica, resiliencia operacional y sostenibilidad</w:t>
      </w:r>
      <w:r w:rsidR="4C151C40" w:rsidRPr="00B611B2">
        <w:rPr>
          <w:rFonts w:asciiTheme="majorHAnsi" w:eastAsiaTheme="majorEastAsia" w:hAnsiTheme="majorHAnsi" w:cstheme="majorBidi"/>
          <w:sz w:val="24"/>
          <w:szCs w:val="24"/>
        </w:rPr>
        <w:t>, en</w:t>
      </w:r>
      <w:r w:rsidR="13948717" w:rsidRPr="00B611B2">
        <w:rPr>
          <w:rFonts w:asciiTheme="majorHAnsi" w:eastAsiaTheme="majorEastAsia" w:hAnsiTheme="majorHAnsi" w:cstheme="majorBidi"/>
          <w:sz w:val="24"/>
          <w:szCs w:val="24"/>
        </w:rPr>
        <w:t xml:space="preserve">tre las que destaca el desarrollo de su </w:t>
      </w:r>
      <w:r w:rsidR="4C151C40" w:rsidRPr="00B611B2">
        <w:rPr>
          <w:rFonts w:asciiTheme="majorHAnsi" w:eastAsiaTheme="majorEastAsia" w:hAnsiTheme="majorHAnsi" w:cstheme="majorBidi"/>
          <w:sz w:val="24"/>
          <w:szCs w:val="24"/>
        </w:rPr>
        <w:t xml:space="preserve">plan </w:t>
      </w:r>
      <w:r w:rsidR="3895F8FD" w:rsidRPr="00B611B2">
        <w:rPr>
          <w:rFonts w:asciiTheme="majorHAnsi" w:eastAsiaTheme="majorEastAsia" w:hAnsiTheme="majorHAnsi" w:cstheme="majorBidi"/>
          <w:sz w:val="24"/>
          <w:szCs w:val="24"/>
        </w:rPr>
        <w:t xml:space="preserve">Biociudad, el cual contempla un portafolio de proyectos estratégicos </w:t>
      </w:r>
      <w:r w:rsidR="556DB20F" w:rsidRPr="00B611B2">
        <w:rPr>
          <w:rFonts w:asciiTheme="majorHAnsi" w:eastAsiaTheme="majorEastAsia" w:hAnsiTheme="majorHAnsi" w:cstheme="majorBidi"/>
          <w:sz w:val="24"/>
          <w:szCs w:val="24"/>
          <w:lang w:val="es-ES"/>
        </w:rPr>
        <w:t>que garanti</w:t>
      </w:r>
      <w:r w:rsidR="78711A75" w:rsidRPr="00B611B2">
        <w:rPr>
          <w:rFonts w:asciiTheme="majorHAnsi" w:eastAsiaTheme="majorEastAsia" w:hAnsiTheme="majorHAnsi" w:cstheme="majorBidi"/>
          <w:sz w:val="24"/>
          <w:szCs w:val="24"/>
          <w:lang w:val="es-ES"/>
        </w:rPr>
        <w:t>zan</w:t>
      </w:r>
      <w:r w:rsidR="556DB20F" w:rsidRPr="00B611B2">
        <w:rPr>
          <w:rFonts w:asciiTheme="majorHAnsi" w:eastAsiaTheme="majorEastAsia" w:hAnsiTheme="majorHAnsi" w:cstheme="majorBidi"/>
          <w:sz w:val="24"/>
          <w:szCs w:val="24"/>
          <w:lang w:val="es-ES"/>
        </w:rPr>
        <w:t xml:space="preserve"> los estándares de seguridad de abastecimiento comprometidos para el Gran Santiago, especialmente frente a los desafíos que impone </w:t>
      </w:r>
      <w:r w:rsidR="70A7F4B4" w:rsidRPr="00B611B2">
        <w:rPr>
          <w:rFonts w:asciiTheme="majorHAnsi" w:eastAsiaTheme="majorEastAsia" w:hAnsiTheme="majorHAnsi" w:cstheme="majorBidi"/>
          <w:sz w:val="24"/>
          <w:szCs w:val="24"/>
          <w:lang w:val="es-ES"/>
        </w:rPr>
        <w:t>la vulnerabilidad climática.</w:t>
      </w:r>
      <w:r w:rsidR="4AA3492D" w:rsidRPr="00B611B2">
        <w:rPr>
          <w:rFonts w:asciiTheme="majorHAnsi" w:eastAsiaTheme="majorEastAsia" w:hAnsiTheme="majorHAnsi" w:cstheme="majorBidi"/>
          <w:sz w:val="24"/>
          <w:szCs w:val="24"/>
          <w:lang w:val="es-ES"/>
        </w:rPr>
        <w:t xml:space="preserve"> </w:t>
      </w:r>
      <w:r w:rsidR="66DEE4CF" w:rsidRPr="00671466">
        <w:rPr>
          <w:rFonts w:asciiTheme="majorHAnsi" w:eastAsiaTheme="majorEastAsia" w:hAnsiTheme="majorHAnsi" w:cstheme="majorBidi"/>
          <w:sz w:val="24"/>
          <w:szCs w:val="24"/>
        </w:rPr>
        <w:t>Las inversiones se enmarcan en el plan Biociudad, que contempla proyectos estratégicos incluidos en el acuerdo tarifario del quinquenio.</w:t>
      </w:r>
    </w:p>
    <w:p w14:paraId="5E5E9DB9" w14:textId="318CDB5E" w:rsidR="0097207A" w:rsidRPr="00B611B2" w:rsidRDefault="0097207A" w:rsidP="00B611B2">
      <w:pPr>
        <w:spacing w:before="240" w:after="0" w:line="240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00B611B2">
        <w:rPr>
          <w:rFonts w:asciiTheme="majorHAnsi" w:eastAsiaTheme="majorEastAsia" w:hAnsiTheme="majorHAnsi" w:cstheme="majorBidi"/>
          <w:sz w:val="24"/>
          <w:szCs w:val="24"/>
        </w:rPr>
        <w:t>Asimismo, el EBITDA consolidado del período fue de $200.885 millones, lo que representa un crecimiento de 7,5% respecto del primer semestre de 2025. En tanto, la utilidad neta alcanzó los $77.526 millones, superior en $1.758 millones a la del mismo periodo del año anterior</w:t>
      </w:r>
      <w:r w:rsidR="0AB49249" w:rsidRPr="00B611B2">
        <w:rPr>
          <w:rFonts w:asciiTheme="majorHAnsi" w:eastAsiaTheme="majorEastAsia" w:hAnsiTheme="majorHAnsi" w:cstheme="majorBidi"/>
          <w:sz w:val="24"/>
          <w:szCs w:val="24"/>
        </w:rPr>
        <w:t>. Este resultado responde principalmente al crecimiento del EBITDA, efecto que fue parcialmente compensado por un mayor gasto financiero, mayores depreciaciones y un incremento en el gasto por impuesto a la renta.</w:t>
      </w:r>
    </w:p>
    <w:p w14:paraId="7B8259A0" w14:textId="44A52F36" w:rsidR="0043224F" w:rsidRPr="00B611B2" w:rsidRDefault="007D03AA" w:rsidP="00B611B2">
      <w:pPr>
        <w:spacing w:before="240" w:line="240" w:lineRule="auto"/>
        <w:jc w:val="both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00B611B2">
        <w:rPr>
          <w:rFonts w:asciiTheme="majorHAnsi" w:eastAsiaTheme="majorEastAsia" w:hAnsiTheme="majorHAnsi" w:cstheme="majorBidi"/>
          <w:b/>
          <w:bCs/>
          <w:sz w:val="24"/>
          <w:szCs w:val="24"/>
        </w:rPr>
        <w:t>Solidez financiera y mirada de futuro</w:t>
      </w:r>
    </w:p>
    <w:p w14:paraId="0AA9FAE4" w14:textId="3D5DA0D0" w:rsidR="00DF7C29" w:rsidRPr="00B611B2" w:rsidDel="002E0FDC" w:rsidRDefault="004A3C43" w:rsidP="00B611B2">
      <w:pPr>
        <w:spacing w:before="240" w:after="0" w:line="240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5A529220">
        <w:rPr>
          <w:rFonts w:asciiTheme="majorHAnsi" w:hAnsiTheme="majorHAnsi" w:cstheme="majorBidi"/>
          <w:sz w:val="24"/>
          <w:szCs w:val="24"/>
        </w:rPr>
        <w:t xml:space="preserve">Los ingresos consolidados alcanzaron $386.383 millones, un incremento de 6,6% respecto de los $362.460 millones registrados en el primer semestre de 2025. </w:t>
      </w:r>
      <w:r w:rsidR="684970B7" w:rsidRPr="00B611B2">
        <w:rPr>
          <w:rFonts w:asciiTheme="majorHAnsi" w:eastAsiaTheme="majorEastAsia" w:hAnsiTheme="majorHAnsi" w:cstheme="majorBidi"/>
          <w:sz w:val="24"/>
          <w:szCs w:val="24"/>
        </w:rPr>
        <w:t xml:space="preserve">El aumento de ingresos se explica principalmente por una mayor tarifa media producto de las indexaciones por </w:t>
      </w:r>
      <w:r w:rsidR="684970B7" w:rsidRPr="00B611B2">
        <w:rPr>
          <w:rFonts w:asciiTheme="majorHAnsi" w:eastAsiaTheme="majorEastAsia" w:hAnsiTheme="majorHAnsi" w:cstheme="majorBidi"/>
          <w:sz w:val="24"/>
          <w:szCs w:val="24"/>
        </w:rPr>
        <w:lastRenderedPageBreak/>
        <w:t>polinomio aplicadas durante 2025 y 2026, junto con los ajustes derivados del VIII Proceso Tarifario para Aguas Andinas, Aguas Cordillera y Aguas Manquehue. Adicionalmente, el consumo se mantuvo levemente por sobre los niveles registrados durante el primer semestre de 2025.</w:t>
      </w:r>
    </w:p>
    <w:p w14:paraId="42B7505D" w14:textId="68A5D23E" w:rsidR="0066186E" w:rsidRPr="00B611B2" w:rsidRDefault="6F7D58B3" w:rsidP="00B611B2">
      <w:pPr>
        <w:spacing w:before="240" w:after="0" w:line="240" w:lineRule="auto"/>
        <w:jc w:val="both"/>
        <w:rPr>
          <w:rFonts w:asciiTheme="majorHAnsi" w:hAnsiTheme="majorHAnsi" w:cstheme="majorBidi"/>
          <w:sz w:val="24"/>
          <w:szCs w:val="24"/>
        </w:rPr>
      </w:pPr>
      <w:r w:rsidRPr="00B611B2">
        <w:rPr>
          <w:rFonts w:asciiTheme="majorHAnsi" w:hAnsiTheme="majorHAnsi" w:cstheme="majorBidi"/>
          <w:sz w:val="24"/>
          <w:szCs w:val="24"/>
        </w:rPr>
        <w:t xml:space="preserve">Al 30 de junio de 2026, la compañía registró </w:t>
      </w:r>
      <w:r w:rsidR="00A52A04">
        <w:rPr>
          <w:rFonts w:asciiTheme="majorHAnsi" w:hAnsiTheme="majorHAnsi" w:cstheme="majorBidi"/>
          <w:sz w:val="24"/>
          <w:szCs w:val="24"/>
        </w:rPr>
        <w:t xml:space="preserve">-entre los efectos principales en términos de costos- </w:t>
      </w:r>
      <w:r w:rsidRPr="00B611B2">
        <w:rPr>
          <w:rFonts w:asciiTheme="majorHAnsi" w:hAnsiTheme="majorHAnsi" w:cstheme="majorBidi"/>
          <w:sz w:val="24"/>
          <w:szCs w:val="24"/>
        </w:rPr>
        <w:t xml:space="preserve">un aumento de $3.742 millones </w:t>
      </w:r>
      <w:r w:rsidR="009B055B" w:rsidRPr="00B611B2">
        <w:rPr>
          <w:rFonts w:asciiTheme="majorHAnsi" w:hAnsiTheme="majorHAnsi" w:cstheme="majorBidi"/>
          <w:sz w:val="24"/>
          <w:szCs w:val="24"/>
        </w:rPr>
        <w:t xml:space="preserve">asociado a </w:t>
      </w:r>
      <w:r w:rsidRPr="00B611B2">
        <w:rPr>
          <w:rFonts w:asciiTheme="majorHAnsi" w:hAnsiTheme="majorHAnsi" w:cstheme="majorBidi"/>
          <w:sz w:val="24"/>
          <w:szCs w:val="24"/>
        </w:rPr>
        <w:t>mayores ingresos sanitarios, principalmente</w:t>
      </w:r>
      <w:r w:rsidR="2A801F4F" w:rsidRPr="00B611B2">
        <w:rPr>
          <w:rFonts w:asciiTheme="majorHAnsi" w:hAnsiTheme="majorHAnsi" w:cstheme="majorBidi"/>
          <w:sz w:val="24"/>
          <w:szCs w:val="24"/>
        </w:rPr>
        <w:t>,</w:t>
      </w:r>
      <w:r w:rsidRPr="00B611B2">
        <w:rPr>
          <w:rFonts w:asciiTheme="majorHAnsi" w:hAnsiTheme="majorHAnsi" w:cstheme="majorBidi"/>
          <w:sz w:val="24"/>
          <w:szCs w:val="24"/>
        </w:rPr>
        <w:t xml:space="preserve"> por el plan de suministro alternativo</w:t>
      </w:r>
      <w:r w:rsidR="4CA5B2B6" w:rsidRPr="00B611B2">
        <w:rPr>
          <w:rFonts w:asciiTheme="majorHAnsi" w:hAnsiTheme="majorHAnsi" w:cstheme="majorBidi"/>
          <w:sz w:val="24"/>
          <w:szCs w:val="24"/>
        </w:rPr>
        <w:t>, el programa de desodorización de La Farfana y las transferencias de agua necesarias para asegurar la continuidad operacional.</w:t>
      </w:r>
    </w:p>
    <w:p w14:paraId="74591CDE" w14:textId="2F8EFCB2" w:rsidR="002E0FDC" w:rsidRPr="007C5736" w:rsidRDefault="002E0FDC" w:rsidP="00B611B2">
      <w:pPr>
        <w:spacing w:before="240" w:after="0" w:line="240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00B611B2">
        <w:rPr>
          <w:rFonts w:asciiTheme="majorHAnsi" w:eastAsiaTheme="majorEastAsia" w:hAnsiTheme="majorHAnsi" w:cstheme="majorBidi"/>
          <w:sz w:val="24"/>
          <w:szCs w:val="24"/>
        </w:rPr>
        <w:t>En el ámbito operacional, Aguas Andinas continuó fortaleciendo su eficiencia, destacando una mejora en la gestión de incobrables</w:t>
      </w:r>
      <w:r w:rsidR="1C29B9E5" w:rsidRPr="00B611B2">
        <w:rPr>
          <w:rFonts w:asciiTheme="majorHAnsi" w:eastAsiaTheme="majorEastAsia" w:hAnsiTheme="majorHAnsi" w:cstheme="majorBidi"/>
          <w:sz w:val="24"/>
          <w:szCs w:val="24"/>
        </w:rPr>
        <w:t xml:space="preserve"> de $1.263 </w:t>
      </w:r>
      <w:r w:rsidR="2E01BAC7" w:rsidRPr="5A529220">
        <w:rPr>
          <w:rFonts w:asciiTheme="majorHAnsi" w:eastAsiaTheme="majorEastAsia" w:hAnsiTheme="majorHAnsi" w:cstheme="majorBidi"/>
          <w:sz w:val="24"/>
          <w:szCs w:val="24"/>
        </w:rPr>
        <w:t>millones,</w:t>
      </w:r>
      <w:r w:rsidRPr="00B611B2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proofErr w:type="gramStart"/>
      <w:r w:rsidRPr="00B611B2">
        <w:rPr>
          <w:rFonts w:asciiTheme="majorHAnsi" w:eastAsiaTheme="majorEastAsia" w:hAnsiTheme="majorHAnsi" w:cstheme="majorBidi"/>
          <w:sz w:val="24"/>
          <w:szCs w:val="24"/>
        </w:rPr>
        <w:t>cuyo ratio</w:t>
      </w:r>
      <w:proofErr w:type="gramEnd"/>
      <w:r w:rsidRPr="00B611B2">
        <w:rPr>
          <w:rFonts w:asciiTheme="majorHAnsi" w:eastAsiaTheme="majorEastAsia" w:hAnsiTheme="majorHAnsi" w:cstheme="majorBidi"/>
          <w:sz w:val="24"/>
          <w:szCs w:val="24"/>
        </w:rPr>
        <w:t xml:space="preserve"> sobre ingresos se redujo a 1,0% desde 1,3% registrado a junio 2025. </w:t>
      </w:r>
      <w:r w:rsidR="0DA0D2DB" w:rsidRPr="00B611B2">
        <w:rPr>
          <w:rFonts w:asciiTheme="majorHAnsi" w:eastAsiaTheme="majorEastAsia" w:hAnsiTheme="majorHAnsi" w:cstheme="majorBidi"/>
          <w:sz w:val="24"/>
          <w:szCs w:val="24"/>
        </w:rPr>
        <w:t xml:space="preserve">Asimismo, la compañía continuó impulsando iniciativas de eficiencia operacional que generaron ahorros por $1.680 millones durante el período. </w:t>
      </w:r>
    </w:p>
    <w:p w14:paraId="7BFAD0CD" w14:textId="2D9FDED3" w:rsidR="002E0FDC" w:rsidRPr="00B611B2" w:rsidRDefault="002E0FDC" w:rsidP="00B611B2">
      <w:pPr>
        <w:spacing w:before="240" w:line="240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00B611B2">
        <w:rPr>
          <w:rFonts w:asciiTheme="majorHAnsi" w:eastAsiaTheme="majorEastAsia" w:hAnsiTheme="majorHAnsi" w:cstheme="majorBidi"/>
          <w:sz w:val="24"/>
          <w:szCs w:val="24"/>
        </w:rPr>
        <w:t>En tanto, la posición financiera se mantuvo sólida, lo que se refleja en la mantención de las clasificaciones de deuda local en AA+ e internacional en A-.</w:t>
      </w:r>
    </w:p>
    <w:p w14:paraId="3A31CDC3" w14:textId="0BAD6E49" w:rsidR="00826C78" w:rsidRPr="00B611B2" w:rsidRDefault="00A44FCF" w:rsidP="00B611B2">
      <w:pPr>
        <w:spacing w:before="240" w:line="240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00B611B2">
        <w:rPr>
          <w:rFonts w:asciiTheme="majorHAnsi" w:eastAsiaTheme="majorEastAsia" w:hAnsiTheme="majorHAnsi" w:cstheme="majorBidi"/>
          <w:sz w:val="24"/>
          <w:szCs w:val="24"/>
        </w:rPr>
        <w:t>En dicho contexto, Aguas Andinas sigue trabajando en entregar sostenibilidad a sus servicios en medio de escenarios climáticos cada vez más inciertos</w:t>
      </w:r>
      <w:r w:rsidR="0040210B" w:rsidRPr="00B611B2">
        <w:rPr>
          <w:rFonts w:asciiTheme="majorHAnsi" w:eastAsiaTheme="majorEastAsia" w:hAnsiTheme="majorHAnsi" w:cstheme="majorBidi"/>
          <w:sz w:val="24"/>
          <w:szCs w:val="24"/>
        </w:rPr>
        <w:t xml:space="preserve">. Con la estrategia Biociudad como hoja de ruta hacia 2035, la compañía trabaja en la implementación de obras y soluciones que contribuyan a la vida de millones de personas, entre las que destaca el proyecto Retorno Maipo, iniciativa basada </w:t>
      </w:r>
      <w:r w:rsidR="00231610" w:rsidRPr="00B611B2">
        <w:rPr>
          <w:rFonts w:asciiTheme="majorHAnsi" w:eastAsiaTheme="majorEastAsia" w:hAnsiTheme="majorHAnsi" w:cstheme="majorBidi"/>
          <w:sz w:val="24"/>
          <w:szCs w:val="24"/>
        </w:rPr>
        <w:t xml:space="preserve">en el reúso de aguas tratadas en la </w:t>
      </w:r>
      <w:proofErr w:type="spellStart"/>
      <w:r w:rsidR="00231610" w:rsidRPr="00B611B2">
        <w:rPr>
          <w:rFonts w:asciiTheme="majorHAnsi" w:eastAsiaTheme="majorEastAsia" w:hAnsiTheme="majorHAnsi" w:cstheme="majorBidi"/>
          <w:sz w:val="24"/>
          <w:szCs w:val="24"/>
        </w:rPr>
        <w:t>Biofactoría</w:t>
      </w:r>
      <w:proofErr w:type="spellEnd"/>
      <w:r w:rsidR="00231610" w:rsidRPr="00B611B2">
        <w:rPr>
          <w:rFonts w:asciiTheme="majorHAnsi" w:eastAsiaTheme="majorEastAsia" w:hAnsiTheme="majorHAnsi" w:cstheme="majorBidi"/>
          <w:sz w:val="24"/>
          <w:szCs w:val="24"/>
        </w:rPr>
        <w:t xml:space="preserve"> Mapocho </w:t>
      </w:r>
      <w:proofErr w:type="spellStart"/>
      <w:r w:rsidR="00231610" w:rsidRPr="00B611B2">
        <w:rPr>
          <w:rFonts w:asciiTheme="majorHAnsi" w:eastAsiaTheme="majorEastAsia" w:hAnsiTheme="majorHAnsi" w:cstheme="majorBidi"/>
          <w:sz w:val="24"/>
          <w:szCs w:val="24"/>
        </w:rPr>
        <w:t>Trebal</w:t>
      </w:r>
      <w:proofErr w:type="spellEnd"/>
      <w:r w:rsidR="00231610" w:rsidRPr="00B611B2">
        <w:rPr>
          <w:rFonts w:asciiTheme="majorHAnsi" w:eastAsiaTheme="majorEastAsia" w:hAnsiTheme="majorHAnsi" w:cstheme="majorBidi"/>
          <w:sz w:val="24"/>
          <w:szCs w:val="24"/>
        </w:rPr>
        <w:t xml:space="preserve"> que contribuirá al equilibrio integral de la cuenca operando en escenarios de extrema sequía</w:t>
      </w:r>
      <w:r w:rsidR="0049471E" w:rsidRPr="00B611B2">
        <w:rPr>
          <w:rFonts w:asciiTheme="majorHAnsi" w:eastAsiaTheme="majorEastAsia" w:hAnsiTheme="majorHAnsi" w:cstheme="majorBidi"/>
          <w:sz w:val="24"/>
          <w:szCs w:val="24"/>
        </w:rPr>
        <w:t xml:space="preserve">. </w:t>
      </w:r>
    </w:p>
    <w:p w14:paraId="747BEF4C" w14:textId="709FF580" w:rsidR="00826C78" w:rsidRPr="00B611B2" w:rsidRDefault="00826C78" w:rsidP="00B611B2">
      <w:pPr>
        <w:spacing w:before="240" w:line="240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00B611B2">
        <w:rPr>
          <w:rFonts w:asciiTheme="majorHAnsi" w:eastAsiaTheme="majorEastAsia" w:hAnsiTheme="majorHAnsi" w:cstheme="majorBidi"/>
          <w:i/>
          <w:iCs/>
          <w:sz w:val="24"/>
          <w:szCs w:val="24"/>
        </w:rPr>
        <w:t>“</w:t>
      </w:r>
      <w:r w:rsidR="00B611B2" w:rsidRPr="00B611B2">
        <w:rPr>
          <w:rFonts w:asciiTheme="majorHAnsi" w:eastAsiaTheme="majorEastAsia" w:hAnsiTheme="majorHAnsi" w:cstheme="majorBidi"/>
          <w:i/>
          <w:iCs/>
          <w:sz w:val="24"/>
          <w:szCs w:val="24"/>
        </w:rPr>
        <w:t xml:space="preserve">Durante el último mes hemos visto los efectos de la vulnerabilidad climática, por lo que se hace cada vez más necesario potenciar la resiliencia y adaptación que Santiago necesita para esta nueva realidad. </w:t>
      </w:r>
      <w:r w:rsidR="7D5044C2" w:rsidRPr="00B611B2">
        <w:rPr>
          <w:rFonts w:asciiTheme="majorHAnsi" w:eastAsiaTheme="majorEastAsia" w:hAnsiTheme="majorHAnsi" w:cstheme="majorBidi"/>
          <w:i/>
          <w:iCs/>
          <w:sz w:val="24"/>
          <w:szCs w:val="24"/>
        </w:rPr>
        <w:t>A través de Biociudad estamos impulsando soluciones concretas para fortalecer la seguridad hídrica, la resiliencia operacional y la sostenibilidad de Santiago. Para ello, es fundamental continuar avanzando mediante una estrecha colaboración público-privada que permita materializar las inversiones que la ciudad necesita para enfrentar escenarios climáticos cada vez más exigentes",</w:t>
      </w:r>
      <w:r w:rsidR="7D5044C2" w:rsidRPr="00B611B2">
        <w:rPr>
          <w:rFonts w:asciiTheme="majorHAnsi" w:eastAsiaTheme="majorEastAsia" w:hAnsiTheme="majorHAnsi" w:cstheme="majorBidi"/>
          <w:sz w:val="24"/>
          <w:szCs w:val="24"/>
        </w:rPr>
        <w:t xml:space="preserve"> señaló Miquel Sans, CFO de Aguas Andinas.</w:t>
      </w:r>
    </w:p>
    <w:p w14:paraId="391C522C" w14:textId="6A766453" w:rsidR="5A529220" w:rsidRPr="00B611B2" w:rsidRDefault="5A529220" w:rsidP="00B611B2">
      <w:pPr>
        <w:spacing w:before="240" w:line="240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</w:p>
    <w:p w14:paraId="496DDB7B" w14:textId="7A6ED2A3" w:rsidR="00242424" w:rsidRPr="00B611B2" w:rsidRDefault="00242424" w:rsidP="00B611B2">
      <w:pPr>
        <w:spacing w:before="240" w:after="0" w:line="240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</w:p>
    <w:sectPr w:rsidR="00242424" w:rsidRPr="00B611B2" w:rsidSect="00A479E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D896F8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6pt;height:127.5pt;visibility:visible" o:bullet="t">
        <v:imagedata r:id="rId1" o:title=""/>
      </v:shape>
    </w:pict>
  </w:numPicBullet>
  <w:numPicBullet w:numPicBulletId="1">
    <w:pict>
      <v:shape id="_x0000_i1026" type="#_x0000_t75" style="width:50pt;height:36pt;visibility:visible" o:bullet="t">
        <v:imagedata r:id="rId2" o:title=""/>
      </v:shape>
    </w:pict>
  </w:numPicBullet>
  <w:abstractNum w:abstractNumId="0" w15:restartNumberingAfterBreak="0">
    <w:nsid w:val="083D431A"/>
    <w:multiLevelType w:val="multilevel"/>
    <w:tmpl w:val="F6720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426FD3"/>
    <w:multiLevelType w:val="multilevel"/>
    <w:tmpl w:val="8836F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635BEF"/>
    <w:multiLevelType w:val="hybridMultilevel"/>
    <w:tmpl w:val="6FFC7764"/>
    <w:lvl w:ilvl="0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4F350D"/>
    <w:multiLevelType w:val="multilevel"/>
    <w:tmpl w:val="E604D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4F7CF9"/>
    <w:multiLevelType w:val="hybridMultilevel"/>
    <w:tmpl w:val="F1747240"/>
    <w:lvl w:ilvl="0" w:tplc="DD70919C">
      <w:start w:val="1"/>
      <w:numFmt w:val="bullet"/>
      <w:lvlText w:val=""/>
      <w:lvlPicBulletId w:val="1"/>
      <w:lvlJc w:val="left"/>
      <w:pPr>
        <w:ind w:left="5464" w:hanging="360"/>
      </w:pPr>
      <w:rPr>
        <w:rFonts w:ascii="Symbol" w:hAnsi="Symbol" w:hint="default"/>
        <w:color w:val="auto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E4AAB"/>
    <w:multiLevelType w:val="hybridMultilevel"/>
    <w:tmpl w:val="918C2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54A7F"/>
    <w:multiLevelType w:val="hybridMultilevel"/>
    <w:tmpl w:val="3822D0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B6C5C"/>
    <w:multiLevelType w:val="multilevel"/>
    <w:tmpl w:val="9A88C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4FE443A"/>
    <w:multiLevelType w:val="multilevel"/>
    <w:tmpl w:val="5DE2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8E26C43"/>
    <w:multiLevelType w:val="multilevel"/>
    <w:tmpl w:val="19DAF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B072A45"/>
    <w:multiLevelType w:val="multilevel"/>
    <w:tmpl w:val="9B7E9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C4C78BB"/>
    <w:multiLevelType w:val="hybridMultilevel"/>
    <w:tmpl w:val="DE1EA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C55C55"/>
    <w:multiLevelType w:val="multilevel"/>
    <w:tmpl w:val="F476E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0F33803"/>
    <w:multiLevelType w:val="multilevel"/>
    <w:tmpl w:val="F9E8E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FDA508B"/>
    <w:multiLevelType w:val="multilevel"/>
    <w:tmpl w:val="51E40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07A5620"/>
    <w:multiLevelType w:val="hybridMultilevel"/>
    <w:tmpl w:val="F1166BFE"/>
    <w:lvl w:ilvl="0" w:tplc="CEB8F03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92C5D4E"/>
    <w:multiLevelType w:val="hybridMultilevel"/>
    <w:tmpl w:val="89867C3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1823739">
    <w:abstractNumId w:val="15"/>
  </w:num>
  <w:num w:numId="2" w16cid:durableId="1858620294">
    <w:abstractNumId w:val="2"/>
  </w:num>
  <w:num w:numId="3" w16cid:durableId="1576547532">
    <w:abstractNumId w:val="6"/>
  </w:num>
  <w:num w:numId="4" w16cid:durableId="1124077002">
    <w:abstractNumId w:val="5"/>
  </w:num>
  <w:num w:numId="5" w16cid:durableId="947616857">
    <w:abstractNumId w:val="11"/>
  </w:num>
  <w:num w:numId="6" w16cid:durableId="1639919611">
    <w:abstractNumId w:val="16"/>
  </w:num>
  <w:num w:numId="7" w16cid:durableId="1365402176">
    <w:abstractNumId w:val="4"/>
  </w:num>
  <w:num w:numId="8" w16cid:durableId="1645085109">
    <w:abstractNumId w:val="0"/>
  </w:num>
  <w:num w:numId="9" w16cid:durableId="998848818">
    <w:abstractNumId w:val="8"/>
  </w:num>
  <w:num w:numId="10" w16cid:durableId="1966891819">
    <w:abstractNumId w:val="14"/>
  </w:num>
  <w:num w:numId="11" w16cid:durableId="387336911">
    <w:abstractNumId w:val="9"/>
  </w:num>
  <w:num w:numId="12" w16cid:durableId="1765686293">
    <w:abstractNumId w:val="7"/>
  </w:num>
  <w:num w:numId="13" w16cid:durableId="1409813321">
    <w:abstractNumId w:val="10"/>
  </w:num>
  <w:num w:numId="14" w16cid:durableId="1829662789">
    <w:abstractNumId w:val="3"/>
  </w:num>
  <w:num w:numId="15" w16cid:durableId="1145776752">
    <w:abstractNumId w:val="13"/>
  </w:num>
  <w:num w:numId="16" w16cid:durableId="1082143587">
    <w:abstractNumId w:val="12"/>
  </w:num>
  <w:num w:numId="17" w16cid:durableId="1505434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05C"/>
    <w:rsid w:val="00022A80"/>
    <w:rsid w:val="00034837"/>
    <w:rsid w:val="00037DEA"/>
    <w:rsid w:val="000527E3"/>
    <w:rsid w:val="00053D01"/>
    <w:rsid w:val="0006368C"/>
    <w:rsid w:val="00064F56"/>
    <w:rsid w:val="0008198C"/>
    <w:rsid w:val="00096E95"/>
    <w:rsid w:val="000A1A26"/>
    <w:rsid w:val="000A76FC"/>
    <w:rsid w:val="000B5B96"/>
    <w:rsid w:val="000C5B72"/>
    <w:rsid w:val="000E3E90"/>
    <w:rsid w:val="00136C27"/>
    <w:rsid w:val="00140A6A"/>
    <w:rsid w:val="00144E8B"/>
    <w:rsid w:val="001469BE"/>
    <w:rsid w:val="0015047D"/>
    <w:rsid w:val="00180C81"/>
    <w:rsid w:val="00186CE6"/>
    <w:rsid w:val="001900DE"/>
    <w:rsid w:val="001979F9"/>
    <w:rsid w:val="001A1CA3"/>
    <w:rsid w:val="001A7C0B"/>
    <w:rsid w:val="001D0244"/>
    <w:rsid w:val="001E2287"/>
    <w:rsid w:val="00207C6E"/>
    <w:rsid w:val="00212B49"/>
    <w:rsid w:val="00231610"/>
    <w:rsid w:val="00242424"/>
    <w:rsid w:val="00245B55"/>
    <w:rsid w:val="002501B9"/>
    <w:rsid w:val="00262C23"/>
    <w:rsid w:val="002B0FCB"/>
    <w:rsid w:val="002C25CC"/>
    <w:rsid w:val="002D4334"/>
    <w:rsid w:val="002E0FDC"/>
    <w:rsid w:val="002E490D"/>
    <w:rsid w:val="002F5E84"/>
    <w:rsid w:val="00306D40"/>
    <w:rsid w:val="00312819"/>
    <w:rsid w:val="00351EED"/>
    <w:rsid w:val="00352356"/>
    <w:rsid w:val="003803EF"/>
    <w:rsid w:val="003A64AC"/>
    <w:rsid w:val="003C57A6"/>
    <w:rsid w:val="003D6C36"/>
    <w:rsid w:val="003F057B"/>
    <w:rsid w:val="003F52BA"/>
    <w:rsid w:val="0040210B"/>
    <w:rsid w:val="00402C20"/>
    <w:rsid w:val="00422CD6"/>
    <w:rsid w:val="00430A8F"/>
    <w:rsid w:val="0043224F"/>
    <w:rsid w:val="0046270C"/>
    <w:rsid w:val="004671C0"/>
    <w:rsid w:val="004724BD"/>
    <w:rsid w:val="0049471E"/>
    <w:rsid w:val="004A354E"/>
    <w:rsid w:val="004A3C43"/>
    <w:rsid w:val="004B60EB"/>
    <w:rsid w:val="00510C94"/>
    <w:rsid w:val="00527FEB"/>
    <w:rsid w:val="0053157E"/>
    <w:rsid w:val="005570DF"/>
    <w:rsid w:val="005642DF"/>
    <w:rsid w:val="0057505C"/>
    <w:rsid w:val="00583CA1"/>
    <w:rsid w:val="00594259"/>
    <w:rsid w:val="005A0869"/>
    <w:rsid w:val="005A6605"/>
    <w:rsid w:val="005B2D85"/>
    <w:rsid w:val="005B50F6"/>
    <w:rsid w:val="005C104F"/>
    <w:rsid w:val="005C23ED"/>
    <w:rsid w:val="005D4FB9"/>
    <w:rsid w:val="005E0499"/>
    <w:rsid w:val="005E603E"/>
    <w:rsid w:val="005E7D24"/>
    <w:rsid w:val="005F278F"/>
    <w:rsid w:val="005F7EA8"/>
    <w:rsid w:val="00611356"/>
    <w:rsid w:val="006265B9"/>
    <w:rsid w:val="0066186E"/>
    <w:rsid w:val="00671466"/>
    <w:rsid w:val="00691701"/>
    <w:rsid w:val="006B0416"/>
    <w:rsid w:val="006E4377"/>
    <w:rsid w:val="006E50EC"/>
    <w:rsid w:val="0073218B"/>
    <w:rsid w:val="00755E75"/>
    <w:rsid w:val="007871CF"/>
    <w:rsid w:val="007A46B6"/>
    <w:rsid w:val="007B3745"/>
    <w:rsid w:val="007C5505"/>
    <w:rsid w:val="007C5736"/>
    <w:rsid w:val="007C6821"/>
    <w:rsid w:val="007D03AA"/>
    <w:rsid w:val="007D7E88"/>
    <w:rsid w:val="0080052B"/>
    <w:rsid w:val="00801B00"/>
    <w:rsid w:val="00826C78"/>
    <w:rsid w:val="00835E80"/>
    <w:rsid w:val="00843E7A"/>
    <w:rsid w:val="008465ED"/>
    <w:rsid w:val="00880CC3"/>
    <w:rsid w:val="008950D3"/>
    <w:rsid w:val="00895B04"/>
    <w:rsid w:val="008B5FEE"/>
    <w:rsid w:val="008C1752"/>
    <w:rsid w:val="008C7E6D"/>
    <w:rsid w:val="008E4A41"/>
    <w:rsid w:val="008E5B3F"/>
    <w:rsid w:val="008E6CC8"/>
    <w:rsid w:val="008E7BAD"/>
    <w:rsid w:val="008F3DA2"/>
    <w:rsid w:val="00912177"/>
    <w:rsid w:val="00912ADB"/>
    <w:rsid w:val="00914870"/>
    <w:rsid w:val="009314F1"/>
    <w:rsid w:val="00951FFE"/>
    <w:rsid w:val="009564D2"/>
    <w:rsid w:val="0097207A"/>
    <w:rsid w:val="00992429"/>
    <w:rsid w:val="00993323"/>
    <w:rsid w:val="0099706C"/>
    <w:rsid w:val="009A1A60"/>
    <w:rsid w:val="009B055B"/>
    <w:rsid w:val="009C3DE1"/>
    <w:rsid w:val="009C4F54"/>
    <w:rsid w:val="00A07D71"/>
    <w:rsid w:val="00A1068A"/>
    <w:rsid w:val="00A42D80"/>
    <w:rsid w:val="00A44FCF"/>
    <w:rsid w:val="00A479E1"/>
    <w:rsid w:val="00A52A04"/>
    <w:rsid w:val="00A54165"/>
    <w:rsid w:val="00A76C76"/>
    <w:rsid w:val="00A82443"/>
    <w:rsid w:val="00A85C81"/>
    <w:rsid w:val="00A975D9"/>
    <w:rsid w:val="00AA309C"/>
    <w:rsid w:val="00AB0588"/>
    <w:rsid w:val="00AB3FEA"/>
    <w:rsid w:val="00AF4CB1"/>
    <w:rsid w:val="00B37049"/>
    <w:rsid w:val="00B611B2"/>
    <w:rsid w:val="00B8402A"/>
    <w:rsid w:val="00B85C8E"/>
    <w:rsid w:val="00B90FAF"/>
    <w:rsid w:val="00B92249"/>
    <w:rsid w:val="00BA1C84"/>
    <w:rsid w:val="00BC350D"/>
    <w:rsid w:val="00BC5BB3"/>
    <w:rsid w:val="00C03927"/>
    <w:rsid w:val="00C17C51"/>
    <w:rsid w:val="00C228BC"/>
    <w:rsid w:val="00C50D62"/>
    <w:rsid w:val="00C53F48"/>
    <w:rsid w:val="00C81DB6"/>
    <w:rsid w:val="00C91EA0"/>
    <w:rsid w:val="00CA1964"/>
    <w:rsid w:val="00CB29A5"/>
    <w:rsid w:val="00CB2C04"/>
    <w:rsid w:val="00CB6FB6"/>
    <w:rsid w:val="00CC1130"/>
    <w:rsid w:val="00CD37CD"/>
    <w:rsid w:val="00CF4B0C"/>
    <w:rsid w:val="00D249A7"/>
    <w:rsid w:val="00D309C9"/>
    <w:rsid w:val="00D31DCC"/>
    <w:rsid w:val="00D3553B"/>
    <w:rsid w:val="00D81163"/>
    <w:rsid w:val="00D938E8"/>
    <w:rsid w:val="00DA3881"/>
    <w:rsid w:val="00DA4E1B"/>
    <w:rsid w:val="00DD2F9C"/>
    <w:rsid w:val="00DD430C"/>
    <w:rsid w:val="00DF7C29"/>
    <w:rsid w:val="00E0061F"/>
    <w:rsid w:val="00E327B2"/>
    <w:rsid w:val="00E71EAF"/>
    <w:rsid w:val="00E77762"/>
    <w:rsid w:val="00E95B50"/>
    <w:rsid w:val="00EB04C7"/>
    <w:rsid w:val="00ED68F0"/>
    <w:rsid w:val="00EE4126"/>
    <w:rsid w:val="00EF6964"/>
    <w:rsid w:val="00EF7D88"/>
    <w:rsid w:val="00F1626A"/>
    <w:rsid w:val="00F21A2A"/>
    <w:rsid w:val="00F27F03"/>
    <w:rsid w:val="00F31CAA"/>
    <w:rsid w:val="00F52B1C"/>
    <w:rsid w:val="00F52F97"/>
    <w:rsid w:val="00F91F63"/>
    <w:rsid w:val="00FA4A59"/>
    <w:rsid w:val="00FC5E83"/>
    <w:rsid w:val="00FE07FE"/>
    <w:rsid w:val="00FE2A15"/>
    <w:rsid w:val="00FF20B8"/>
    <w:rsid w:val="05868E4D"/>
    <w:rsid w:val="0A327F64"/>
    <w:rsid w:val="0AB49249"/>
    <w:rsid w:val="0DA0D2DB"/>
    <w:rsid w:val="13948717"/>
    <w:rsid w:val="13F29412"/>
    <w:rsid w:val="1534CBC5"/>
    <w:rsid w:val="1A0C991D"/>
    <w:rsid w:val="1C29B9E5"/>
    <w:rsid w:val="1E885F43"/>
    <w:rsid w:val="1F0755E2"/>
    <w:rsid w:val="2137DE63"/>
    <w:rsid w:val="21E9A7A1"/>
    <w:rsid w:val="22E578EF"/>
    <w:rsid w:val="2391C091"/>
    <w:rsid w:val="282ADD46"/>
    <w:rsid w:val="29FE83B1"/>
    <w:rsid w:val="2A801F4F"/>
    <w:rsid w:val="2AAC6053"/>
    <w:rsid w:val="2B9560C2"/>
    <w:rsid w:val="2C63953A"/>
    <w:rsid w:val="2E01BAC7"/>
    <w:rsid w:val="2EA91518"/>
    <w:rsid w:val="337C466E"/>
    <w:rsid w:val="375DDE3D"/>
    <w:rsid w:val="3895F8FD"/>
    <w:rsid w:val="3B1C8452"/>
    <w:rsid w:val="40245501"/>
    <w:rsid w:val="42AF0424"/>
    <w:rsid w:val="43A3B4FC"/>
    <w:rsid w:val="45D52D56"/>
    <w:rsid w:val="4A72BD34"/>
    <w:rsid w:val="4AA3492D"/>
    <w:rsid w:val="4C151C40"/>
    <w:rsid w:val="4CA5B2B6"/>
    <w:rsid w:val="4DFD64D7"/>
    <w:rsid w:val="4ED15C18"/>
    <w:rsid w:val="4ED97676"/>
    <w:rsid w:val="4FD87949"/>
    <w:rsid w:val="54AA0052"/>
    <w:rsid w:val="556DB20F"/>
    <w:rsid w:val="57CA8111"/>
    <w:rsid w:val="586D5F03"/>
    <w:rsid w:val="5A529220"/>
    <w:rsid w:val="5C0C8EDD"/>
    <w:rsid w:val="5E020D86"/>
    <w:rsid w:val="5EE72121"/>
    <w:rsid w:val="5EFBE8A3"/>
    <w:rsid w:val="5F9AB2DA"/>
    <w:rsid w:val="6174FE7F"/>
    <w:rsid w:val="62DF8711"/>
    <w:rsid w:val="6385052F"/>
    <w:rsid w:val="66DEE4CF"/>
    <w:rsid w:val="6754506D"/>
    <w:rsid w:val="684970B7"/>
    <w:rsid w:val="6857AC90"/>
    <w:rsid w:val="68839869"/>
    <w:rsid w:val="69A7E893"/>
    <w:rsid w:val="6F37CEAC"/>
    <w:rsid w:val="6F7D58B3"/>
    <w:rsid w:val="70A7F4B4"/>
    <w:rsid w:val="71CC044C"/>
    <w:rsid w:val="72DFAD1B"/>
    <w:rsid w:val="7763EBE9"/>
    <w:rsid w:val="78711A75"/>
    <w:rsid w:val="79E841F5"/>
    <w:rsid w:val="7D50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CD855"/>
  <w15:chartTrackingRefBased/>
  <w15:docId w15:val="{50EFAA3C-A2ED-4BEE-87FF-837A09333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05C"/>
    <w:pPr>
      <w:spacing w:after="160" w:line="259" w:lineRule="auto"/>
    </w:pPr>
    <w:rPr>
      <w:rFonts w:ascii="Calibri" w:eastAsia="Calibri" w:hAnsi="Calibri" w:cs="Times New Roman"/>
      <w:kern w:val="0"/>
      <w:sz w:val="22"/>
      <w:szCs w:val="22"/>
      <w:lang w:eastAsia="es-C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57505C"/>
    <w:pPr>
      <w:ind w:left="708"/>
    </w:pPr>
  </w:style>
  <w:style w:type="character" w:customStyle="1" w:styleId="PrrafodelistaCar">
    <w:name w:val="Párrafo de lista Car"/>
    <w:link w:val="Prrafodelista"/>
    <w:uiPriority w:val="34"/>
    <w:rsid w:val="0057505C"/>
    <w:rPr>
      <w:rFonts w:ascii="Calibri" w:eastAsia="Calibri" w:hAnsi="Calibri" w:cs="Times New Roman"/>
      <w:kern w:val="0"/>
      <w:sz w:val="22"/>
      <w:szCs w:val="22"/>
      <w:lang w:eastAsia="es-CL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6E50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E50E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E50EC"/>
    <w:rPr>
      <w:rFonts w:ascii="Calibri" w:eastAsia="Calibri" w:hAnsi="Calibri" w:cs="Times New Roman"/>
      <w:kern w:val="0"/>
      <w:sz w:val="20"/>
      <w:szCs w:val="20"/>
      <w:lang w:eastAsia="es-CL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50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50EC"/>
    <w:rPr>
      <w:rFonts w:ascii="Calibri" w:eastAsia="Calibri" w:hAnsi="Calibri" w:cs="Times New Roman"/>
      <w:b/>
      <w:bCs/>
      <w:kern w:val="0"/>
      <w:sz w:val="20"/>
      <w:szCs w:val="20"/>
      <w:lang w:eastAsia="es-CL"/>
      <w14:ligatures w14:val="none"/>
    </w:rPr>
  </w:style>
  <w:style w:type="paragraph" w:styleId="Revisin">
    <w:name w:val="Revision"/>
    <w:hidden/>
    <w:uiPriority w:val="99"/>
    <w:semiHidden/>
    <w:rsid w:val="00BA1C84"/>
    <w:rPr>
      <w:rFonts w:ascii="Calibri" w:eastAsia="Calibri" w:hAnsi="Calibri" w:cs="Times New Roman"/>
      <w:kern w:val="0"/>
      <w:sz w:val="22"/>
      <w:szCs w:val="22"/>
      <w:lang w:eastAsia="es-CL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D6C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Mencionar">
    <w:name w:val="Mention"/>
    <w:basedOn w:val="Fuentedeprrafopredeter"/>
    <w:uiPriority w:val="99"/>
    <w:unhideWhenUsed/>
    <w:rsid w:val="00F31CA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718</Words>
  <Characters>3952</Characters>
  <Application>Microsoft Office Word</Application>
  <DocSecurity>0</DocSecurity>
  <Lines>32</Lines>
  <Paragraphs>9</Paragraphs>
  <ScaleCrop>false</ScaleCrop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Lipari</dc:creator>
  <cp:keywords/>
  <dc:description/>
  <cp:lastModifiedBy>Rodrigo Alex Valdes Salinas</cp:lastModifiedBy>
  <cp:revision>5</cp:revision>
  <dcterms:created xsi:type="dcterms:W3CDTF">2026-08-20T14:25:00Z</dcterms:created>
  <dcterms:modified xsi:type="dcterms:W3CDTF">2026-08-20T17:06:00Z</dcterms:modified>
</cp:coreProperties>
</file>