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053C" w14:textId="2DF7A564" w:rsidR="00630A29" w:rsidRDefault="00630A29">
      <w:pPr>
        <w:rPr>
          <w:rFonts w:ascii="Lato" w:hAnsi="Lato" w:cstheme="majorHAnsi"/>
          <w:b/>
          <w:bCs/>
          <w:color w:val="FFFFFF" w:themeColor="background1"/>
          <w:sz w:val="28"/>
          <w:szCs w:val="28"/>
          <w:lang w:val="es-ES_tradnl"/>
        </w:rPr>
      </w:pPr>
      <w:r w:rsidRPr="003878DA">
        <w:rPr>
          <w:rFonts w:ascii="Lato" w:hAnsi="Lato" w:cstheme="majorHAnsi"/>
          <w:b/>
          <w:bCs/>
          <w:noProof/>
          <w:color w:val="FFFFFF" w:themeColor="background1"/>
          <w:sz w:val="28"/>
          <w:szCs w:val="28"/>
        </w:rPr>
        <w:drawing>
          <wp:anchor distT="0" distB="0" distL="114300" distR="114300" simplePos="0" relativeHeight="251660288" behindDoc="0" locked="0" layoutInCell="1" allowOverlap="1" wp14:anchorId="5387D46B" wp14:editId="69125C48">
            <wp:simplePos x="0" y="0"/>
            <wp:positionH relativeFrom="column">
              <wp:posOffset>4395470</wp:posOffset>
            </wp:positionH>
            <wp:positionV relativeFrom="paragraph">
              <wp:posOffset>-643654</wp:posOffset>
            </wp:positionV>
            <wp:extent cx="1951355" cy="818707"/>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5">
                      <a:extLst>
                        <a:ext uri="{28A0092B-C50C-407E-A947-70E740481C1C}">
                          <a14:useLocalDpi xmlns:a14="http://schemas.microsoft.com/office/drawing/2010/main" val="0"/>
                        </a:ext>
                      </a:extLst>
                    </a:blip>
                    <a:stretch>
                      <a:fillRect/>
                    </a:stretch>
                  </pic:blipFill>
                  <pic:spPr>
                    <a:xfrm>
                      <a:off x="0" y="0"/>
                      <a:ext cx="1951355" cy="818707"/>
                    </a:xfrm>
                    <a:prstGeom prst="rect">
                      <a:avLst/>
                    </a:prstGeom>
                  </pic:spPr>
                </pic:pic>
              </a:graphicData>
            </a:graphic>
            <wp14:sizeRelH relativeFrom="page">
              <wp14:pctWidth>0</wp14:pctWidth>
            </wp14:sizeRelH>
            <wp14:sizeRelV relativeFrom="page">
              <wp14:pctHeight>0</wp14:pctHeight>
            </wp14:sizeRelV>
          </wp:anchor>
        </w:drawing>
      </w:r>
      <w:r w:rsidRPr="003878DA">
        <w:rPr>
          <w:rFonts w:ascii="Lato" w:hAnsi="Lato" w:cstheme="majorHAnsi"/>
          <w:b/>
          <w:bCs/>
          <w:noProof/>
          <w:color w:val="FFFFFF" w:themeColor="background1"/>
          <w:sz w:val="32"/>
          <w:szCs w:val="28"/>
          <w:lang w:eastAsia="es-CL"/>
        </w:rPr>
        <mc:AlternateContent>
          <mc:Choice Requires="wps">
            <w:drawing>
              <wp:anchor distT="0" distB="0" distL="114300" distR="114300" simplePos="0" relativeHeight="251659264" behindDoc="1" locked="0" layoutInCell="1" allowOverlap="1" wp14:anchorId="0541992F" wp14:editId="2CA825F1">
                <wp:simplePos x="0" y="0"/>
                <wp:positionH relativeFrom="page">
                  <wp:posOffset>-635</wp:posOffset>
                </wp:positionH>
                <wp:positionV relativeFrom="paragraph">
                  <wp:posOffset>-909084</wp:posOffset>
                </wp:positionV>
                <wp:extent cx="7761514" cy="1839433"/>
                <wp:effectExtent l="0" t="0" r="11430" b="15240"/>
                <wp:wrapNone/>
                <wp:docPr id="3" name="Rectángulo 3"/>
                <wp:cNvGraphicFramePr/>
                <a:graphic xmlns:a="http://schemas.openxmlformats.org/drawingml/2006/main">
                  <a:graphicData uri="http://schemas.microsoft.com/office/word/2010/wordprocessingShape">
                    <wps:wsp>
                      <wps:cNvSpPr/>
                      <wps:spPr>
                        <a:xfrm>
                          <a:off x="0" y="0"/>
                          <a:ext cx="7761514" cy="1839433"/>
                        </a:xfrm>
                        <a:prstGeom prst="rect">
                          <a:avLst/>
                        </a:prstGeom>
                        <a:solidFill>
                          <a:srgbClr val="67ABDF"/>
                        </a:solidFill>
                        <a:ln>
                          <a:solidFill>
                            <a:srgbClr val="67ABD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A592" id="Rectángulo 3" o:spid="_x0000_s1026" style="position:absolute;margin-left:-.05pt;margin-top:-71.6pt;width:611.15pt;height:14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" fillcolor="#67abdf" strokecolor="#67abdf" strokeweight="1pt">
                <w10:wrap anchorx="page"/>
              </v:rect>
            </w:pict>
          </mc:Fallback>
        </mc:AlternateContent>
      </w:r>
    </w:p>
    <w:p w14:paraId="674FE58B" w14:textId="77777777" w:rsidR="00D41C2E" w:rsidRPr="00D41C2E" w:rsidRDefault="00D41C2E">
      <w:pPr>
        <w:rPr>
          <w:rFonts w:ascii="Lato" w:hAnsi="Lato" w:cstheme="majorHAnsi"/>
          <w:b/>
          <w:bCs/>
          <w:color w:val="FFFFFF" w:themeColor="background1"/>
          <w:lang w:val="es-ES_tradnl"/>
        </w:rPr>
      </w:pPr>
      <w:r w:rsidRPr="00D41C2E">
        <w:rPr>
          <w:rFonts w:ascii="Lato" w:hAnsi="Lato" w:cstheme="majorHAnsi"/>
          <w:b/>
          <w:bCs/>
          <w:color w:val="FFFFFF" w:themeColor="background1"/>
          <w:lang w:val="es-ES_tradnl"/>
        </w:rPr>
        <w:t>1</w:t>
      </w:r>
      <w:r w:rsidRPr="00D41C2E">
        <w:rPr>
          <w:rFonts w:ascii="Lato" w:hAnsi="Lato" w:cstheme="majorHAnsi"/>
          <w:b/>
          <w:bCs/>
          <w:color w:val="FFFFFF" w:themeColor="background1"/>
          <w:vertAlign w:val="superscript"/>
          <w:lang w:val="es-ES_tradnl"/>
        </w:rPr>
        <w:t>ER</w:t>
      </w:r>
      <w:r w:rsidRPr="00D41C2E">
        <w:rPr>
          <w:rFonts w:ascii="Lato" w:hAnsi="Lato" w:cstheme="majorHAnsi"/>
          <w:b/>
          <w:bCs/>
          <w:color w:val="FFFFFF" w:themeColor="background1"/>
          <w:lang w:val="es-ES_tradnl"/>
        </w:rPr>
        <w:t xml:space="preserve"> BALANCE</w:t>
      </w:r>
    </w:p>
    <w:p w14:paraId="6C59C005" w14:textId="6FC2ED03" w:rsidR="003878DA" w:rsidRPr="003878DA" w:rsidRDefault="00D41C2E">
      <w:pPr>
        <w:rPr>
          <w:rFonts w:asciiTheme="majorHAnsi" w:hAnsiTheme="majorHAnsi" w:cstheme="majorHAnsi"/>
          <w:color w:val="404040" w:themeColor="text1" w:themeTint="BF"/>
          <w:lang w:val="es-ES_tradnl"/>
        </w:rPr>
      </w:pPr>
      <w:r>
        <w:rPr>
          <w:rFonts w:ascii="Lato" w:hAnsi="Lato" w:cstheme="majorHAnsi"/>
          <w:b/>
          <w:bCs/>
          <w:color w:val="FFFFFF" w:themeColor="background1"/>
          <w:sz w:val="28"/>
          <w:szCs w:val="28"/>
          <w:lang w:val="es-ES_tradnl"/>
        </w:rPr>
        <w:t xml:space="preserve">¿CUÁNTO HEMOS AVANZADO? </w:t>
      </w:r>
    </w:p>
    <w:p w14:paraId="6BC87691" w14:textId="4FEA2246" w:rsidR="00DC565F" w:rsidRPr="003878DA" w:rsidRDefault="00DC565F">
      <w:pPr>
        <w:rPr>
          <w:rFonts w:asciiTheme="majorHAnsi" w:hAnsiTheme="majorHAnsi" w:cstheme="majorHAnsi"/>
          <w:color w:val="404040" w:themeColor="text1" w:themeTint="BF"/>
          <w:lang w:val="es-ES_tradnl"/>
        </w:rPr>
      </w:pPr>
    </w:p>
    <w:p w14:paraId="0CC716E4" w14:textId="7085880C" w:rsidR="003878DA" w:rsidRPr="003878DA" w:rsidRDefault="003878DA">
      <w:pPr>
        <w:rPr>
          <w:rFonts w:asciiTheme="majorHAnsi" w:hAnsiTheme="majorHAnsi" w:cstheme="majorHAnsi"/>
          <w:color w:val="404040" w:themeColor="text1" w:themeTint="BF"/>
          <w:lang w:val="es-ES_tradnl"/>
        </w:rPr>
      </w:pPr>
    </w:p>
    <w:p w14:paraId="058BF7B9" w14:textId="1F7DC800" w:rsidR="00DC565F" w:rsidRDefault="00DC565F">
      <w:pPr>
        <w:rPr>
          <w:rFonts w:cstheme="minorHAnsi"/>
          <w:color w:val="404040" w:themeColor="text1" w:themeTint="BF"/>
          <w:lang w:val="es-ES_tradnl"/>
        </w:rPr>
      </w:pPr>
    </w:p>
    <w:p w14:paraId="726AC4A4" w14:textId="77777777" w:rsidR="007A1FB2" w:rsidRDefault="007A1FB2">
      <w:pPr>
        <w:rPr>
          <w:rFonts w:cstheme="minorHAnsi"/>
          <w:color w:val="404040" w:themeColor="text1" w:themeTint="BF"/>
          <w:lang w:val="es-ES_tradnl"/>
        </w:rPr>
      </w:pPr>
    </w:p>
    <w:p w14:paraId="376E6F68" w14:textId="1BF7AA4D" w:rsidR="003878DA" w:rsidRDefault="00D41C2E">
      <w:pPr>
        <w:rPr>
          <w:rFonts w:cstheme="minorHAnsi"/>
          <w:b/>
          <w:bCs/>
          <w:color w:val="67ABDF"/>
          <w:lang w:val="es-ES_tradnl"/>
        </w:rPr>
      </w:pPr>
      <w:r w:rsidRPr="008657BA">
        <w:rPr>
          <w:rFonts w:cstheme="minorHAnsi"/>
          <w:b/>
          <w:bCs/>
          <w:color w:val="67ABDF"/>
          <w:lang w:val="es-ES_tradnl"/>
        </w:rPr>
        <w:t>MEDIDAS DE TIPOLOGÍA Y CLASIFICACIÓN</w:t>
      </w:r>
    </w:p>
    <w:p w14:paraId="34B5257B" w14:textId="77777777" w:rsidR="00490B92" w:rsidRPr="007754CD" w:rsidRDefault="00490B92">
      <w:pPr>
        <w:rPr>
          <w:rFonts w:cstheme="minorHAnsi"/>
          <w:b/>
          <w:bCs/>
          <w:color w:val="67ABDF"/>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7754CD" w:rsidRPr="007754CD" w14:paraId="415E5F7E" w14:textId="77777777" w:rsidTr="007754CD">
        <w:tc>
          <w:tcPr>
            <w:tcW w:w="2405" w:type="dxa"/>
          </w:tcPr>
          <w:p w14:paraId="2B59F03F" w14:textId="18BECD19" w:rsidR="007754CD" w:rsidRPr="007754CD" w:rsidRDefault="007754CD" w:rsidP="007754CD">
            <w:pPr>
              <w:jc w:val="center"/>
              <w:rPr>
                <w:rFonts w:asciiTheme="majorHAnsi" w:hAnsiTheme="majorHAnsi" w:cstheme="majorHAnsi"/>
                <w:color w:val="404040" w:themeColor="text1" w:themeTint="BF"/>
                <w:lang w:val="es-ES_tradnl"/>
              </w:rPr>
            </w:pPr>
            <w:r w:rsidRPr="007754CD">
              <w:rPr>
                <w:rFonts w:asciiTheme="majorHAnsi" w:hAnsiTheme="majorHAnsi" w:cstheme="majorHAnsi"/>
                <w:noProof/>
              </w:rPr>
              <w:drawing>
                <wp:inline distT="0" distB="0" distL="0" distR="0" wp14:anchorId="6ACF09FA" wp14:editId="23BEAA1E">
                  <wp:extent cx="1125416" cy="1092200"/>
                  <wp:effectExtent l="0" t="0" r="0" b="0"/>
                  <wp:docPr id="18001254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125430" name=""/>
                          <pic:cNvPicPr/>
                        </pic:nvPicPr>
                        <pic:blipFill rotWithShape="1">
                          <a:blip r:embed="rId6"/>
                          <a:srcRect l="17332" t="14335" r="19618"/>
                          <a:stretch/>
                        </pic:blipFill>
                        <pic:spPr bwMode="auto">
                          <a:xfrm>
                            <a:off x="0" y="0"/>
                            <a:ext cx="1170567" cy="1136018"/>
                          </a:xfrm>
                          <a:prstGeom prst="rect">
                            <a:avLst/>
                          </a:prstGeom>
                          <a:ln>
                            <a:noFill/>
                          </a:ln>
                          <a:extLst>
                            <a:ext uri="{53640926-AAD7-44D8-BBD7-CCE9431645EC}">
                              <a14:shadowObscured xmlns:a14="http://schemas.microsoft.com/office/drawing/2010/main"/>
                            </a:ext>
                          </a:extLst>
                        </pic:spPr>
                      </pic:pic>
                    </a:graphicData>
                  </a:graphic>
                </wp:inline>
              </w:drawing>
            </w:r>
          </w:p>
        </w:tc>
        <w:tc>
          <w:tcPr>
            <w:tcW w:w="6423" w:type="dxa"/>
          </w:tcPr>
          <w:p w14:paraId="34627CE6" w14:textId="43664321" w:rsidR="007754CD" w:rsidRPr="007754CD" w:rsidRDefault="00490B92" w:rsidP="00490B92">
            <w:pPr>
              <w:jc w:val="both"/>
              <w:rPr>
                <w:rFonts w:asciiTheme="majorHAnsi" w:hAnsiTheme="majorHAnsi" w:cstheme="majorHAnsi"/>
                <w:color w:val="404040" w:themeColor="text1" w:themeTint="BF"/>
                <w:lang w:val="es-ES_tradnl"/>
              </w:rPr>
            </w:pPr>
            <w:r>
              <w:rPr>
                <w:rFonts w:asciiTheme="majorHAnsi" w:hAnsiTheme="majorHAnsi" w:cstheme="majorHAnsi"/>
                <w:color w:val="404040" w:themeColor="text1" w:themeTint="BF"/>
                <w:lang w:val="es-ES_tradnl"/>
              </w:rPr>
              <w:t xml:space="preserve">Es el área de medidas con menor avance. Requiere poder dar prioridad a </w:t>
            </w:r>
            <w:r w:rsidRPr="00490B92">
              <w:rPr>
                <w:rFonts w:asciiTheme="majorHAnsi" w:hAnsiTheme="majorHAnsi" w:cstheme="majorHAnsi"/>
                <w:b/>
                <w:bCs/>
                <w:color w:val="404040" w:themeColor="text1" w:themeTint="BF"/>
                <w:lang w:val="es-ES_tradnl"/>
              </w:rPr>
              <w:t>unificar y armonizar las normas para las instituciones sin fines de lucro</w:t>
            </w:r>
            <w:r>
              <w:rPr>
                <w:rFonts w:asciiTheme="majorHAnsi" w:hAnsiTheme="majorHAnsi" w:cstheme="majorHAnsi"/>
                <w:color w:val="404040" w:themeColor="text1" w:themeTint="BF"/>
                <w:lang w:val="es-ES_tradnl"/>
              </w:rPr>
              <w:t>.</w:t>
            </w:r>
          </w:p>
        </w:tc>
      </w:tr>
    </w:tbl>
    <w:p w14:paraId="57D9DC09" w14:textId="77777777" w:rsidR="007754CD" w:rsidRDefault="007754CD">
      <w:pPr>
        <w:rPr>
          <w:rFonts w:cstheme="minorHAnsi"/>
          <w:color w:val="404040" w:themeColor="text1" w:themeTint="BF"/>
          <w:lang w:val="es-ES_tradnl"/>
        </w:rPr>
      </w:pPr>
    </w:p>
    <w:tbl>
      <w:tblPr>
        <w:tblW w:w="8926" w:type="dxa"/>
        <w:tblBorders>
          <w:top w:val="single" w:sz="4" w:space="0" w:color="67ABDF"/>
          <w:left w:val="single" w:sz="4" w:space="0" w:color="67ABDF"/>
          <w:bottom w:val="single" w:sz="4" w:space="0" w:color="67ABDF"/>
          <w:right w:val="single" w:sz="4" w:space="0" w:color="67ABDF"/>
          <w:insideH w:val="single" w:sz="4" w:space="0" w:color="67ABDF"/>
          <w:insideV w:val="single" w:sz="4" w:space="0" w:color="67ABDF"/>
        </w:tblBorders>
        <w:tblCellMar>
          <w:left w:w="70" w:type="dxa"/>
          <w:right w:w="70" w:type="dxa"/>
        </w:tblCellMar>
        <w:tblLook w:val="04A0" w:firstRow="1" w:lastRow="0" w:firstColumn="1" w:lastColumn="0" w:noHBand="0" w:noVBand="1"/>
      </w:tblPr>
      <w:tblGrid>
        <w:gridCol w:w="689"/>
        <w:gridCol w:w="1700"/>
        <w:gridCol w:w="3276"/>
        <w:gridCol w:w="851"/>
        <w:gridCol w:w="992"/>
        <w:gridCol w:w="1418"/>
      </w:tblGrid>
      <w:tr w:rsidR="001653D8" w:rsidRPr="00D41C2E" w14:paraId="508C20A6" w14:textId="6152C5E6" w:rsidTr="00490B92">
        <w:trPr>
          <w:trHeight w:val="320"/>
        </w:trPr>
        <w:tc>
          <w:tcPr>
            <w:tcW w:w="689" w:type="dxa"/>
            <w:shd w:val="clear" w:color="auto" w:fill="67ABDF"/>
            <w:noWrap/>
            <w:vAlign w:val="center"/>
            <w:hideMark/>
          </w:tcPr>
          <w:p w14:paraId="2599FDF2" w14:textId="48470E57" w:rsidR="001653D8" w:rsidRPr="00D41C2E" w:rsidRDefault="001653D8" w:rsidP="00D41C2E">
            <w:pPr>
              <w:jc w:val="center"/>
              <w:rPr>
                <w:rFonts w:asciiTheme="majorHAnsi" w:eastAsia="Times New Roman" w:hAnsiTheme="majorHAnsi" w:cstheme="majorHAnsi"/>
                <w:b/>
                <w:bCs/>
                <w:color w:val="FFFFFF"/>
                <w:sz w:val="16"/>
                <w:szCs w:val="16"/>
                <w:lang w:eastAsia="es-MX"/>
              </w:rPr>
            </w:pPr>
            <w:proofErr w:type="spellStart"/>
            <w:r w:rsidRPr="00D41C2E">
              <w:rPr>
                <w:rFonts w:asciiTheme="majorHAnsi" w:eastAsia="Times New Roman" w:hAnsiTheme="majorHAnsi" w:cstheme="majorHAnsi"/>
                <w:b/>
                <w:bCs/>
                <w:color w:val="FFFFFF"/>
                <w:sz w:val="16"/>
                <w:szCs w:val="16"/>
                <w:lang w:eastAsia="es-MX"/>
              </w:rPr>
              <w:t>N°</w:t>
            </w:r>
            <w:proofErr w:type="spellEnd"/>
            <w:r w:rsidRPr="00D41C2E">
              <w:rPr>
                <w:rFonts w:asciiTheme="majorHAnsi" w:eastAsia="Times New Roman" w:hAnsiTheme="majorHAnsi" w:cstheme="majorHAnsi"/>
                <w:b/>
                <w:bCs/>
                <w:color w:val="FFFFFF"/>
                <w:sz w:val="16"/>
                <w:szCs w:val="16"/>
                <w:lang w:eastAsia="es-MX"/>
              </w:rPr>
              <w:t xml:space="preserve"> </w:t>
            </w:r>
          </w:p>
        </w:tc>
        <w:tc>
          <w:tcPr>
            <w:tcW w:w="1700" w:type="dxa"/>
            <w:shd w:val="clear" w:color="auto" w:fill="67ABDF"/>
            <w:noWrap/>
            <w:vAlign w:val="center"/>
            <w:hideMark/>
          </w:tcPr>
          <w:p w14:paraId="3D34007A" w14:textId="23EFF998" w:rsidR="001653D8" w:rsidRPr="00D41C2E" w:rsidRDefault="001653D8" w:rsidP="00D41C2E">
            <w:pPr>
              <w:ind w:right="730"/>
              <w:rPr>
                <w:rFonts w:asciiTheme="majorHAnsi" w:eastAsia="Times New Roman" w:hAnsiTheme="majorHAnsi" w:cstheme="majorHAnsi"/>
                <w:b/>
                <w:bCs/>
                <w:color w:val="FFFFFF"/>
                <w:sz w:val="16"/>
                <w:szCs w:val="16"/>
                <w:lang w:eastAsia="es-MX"/>
              </w:rPr>
            </w:pPr>
            <w:r>
              <w:rPr>
                <w:rFonts w:asciiTheme="majorHAnsi" w:eastAsia="Times New Roman" w:hAnsiTheme="majorHAnsi" w:cstheme="majorHAnsi"/>
                <w:b/>
                <w:bCs/>
                <w:color w:val="FFFFFF"/>
                <w:sz w:val="16"/>
                <w:szCs w:val="16"/>
                <w:lang w:eastAsia="es-MX"/>
              </w:rPr>
              <w:t>MEDIDA</w:t>
            </w:r>
          </w:p>
        </w:tc>
        <w:tc>
          <w:tcPr>
            <w:tcW w:w="3276" w:type="dxa"/>
            <w:shd w:val="clear" w:color="auto" w:fill="67ABDF"/>
            <w:noWrap/>
            <w:vAlign w:val="center"/>
            <w:hideMark/>
          </w:tcPr>
          <w:p w14:paraId="074504EE" w14:textId="4B6BEBCA" w:rsidR="001653D8" w:rsidRPr="00D41C2E" w:rsidRDefault="001653D8" w:rsidP="008657BA">
            <w:pPr>
              <w:rPr>
                <w:rFonts w:asciiTheme="majorHAnsi" w:eastAsia="Times New Roman" w:hAnsiTheme="majorHAnsi" w:cstheme="majorHAnsi"/>
                <w:b/>
                <w:bCs/>
                <w:color w:val="FFFFFF"/>
                <w:sz w:val="16"/>
                <w:szCs w:val="16"/>
                <w:lang w:eastAsia="es-MX"/>
              </w:rPr>
            </w:pPr>
            <w:r w:rsidRPr="00D41C2E">
              <w:rPr>
                <w:rFonts w:asciiTheme="majorHAnsi" w:eastAsia="Times New Roman" w:hAnsiTheme="majorHAnsi" w:cstheme="majorHAnsi"/>
                <w:b/>
                <w:bCs/>
                <w:color w:val="FFFFFF"/>
                <w:sz w:val="16"/>
                <w:szCs w:val="16"/>
                <w:lang w:eastAsia="es-MX"/>
              </w:rPr>
              <w:t>ACCIÓN</w:t>
            </w:r>
          </w:p>
        </w:tc>
        <w:tc>
          <w:tcPr>
            <w:tcW w:w="851" w:type="dxa"/>
            <w:shd w:val="clear" w:color="auto" w:fill="67ABDF"/>
            <w:noWrap/>
            <w:vAlign w:val="center"/>
            <w:hideMark/>
          </w:tcPr>
          <w:p w14:paraId="7DDADE39" w14:textId="1596D64B" w:rsidR="001653D8" w:rsidRPr="00D41C2E" w:rsidRDefault="001653D8" w:rsidP="00D41C2E">
            <w:pPr>
              <w:jc w:val="center"/>
              <w:rPr>
                <w:rFonts w:asciiTheme="majorHAnsi" w:eastAsia="Times New Roman" w:hAnsiTheme="majorHAnsi" w:cstheme="majorHAnsi"/>
                <w:b/>
                <w:bCs/>
                <w:color w:val="FFFFFF"/>
                <w:sz w:val="16"/>
                <w:szCs w:val="16"/>
                <w:lang w:eastAsia="es-MX"/>
              </w:rPr>
            </w:pPr>
            <w:r w:rsidRPr="00D41C2E">
              <w:rPr>
                <w:rFonts w:asciiTheme="majorHAnsi" w:eastAsia="Times New Roman" w:hAnsiTheme="majorHAnsi" w:cstheme="majorHAnsi"/>
                <w:b/>
                <w:bCs/>
                <w:color w:val="FFFFFF"/>
                <w:sz w:val="16"/>
                <w:szCs w:val="16"/>
                <w:lang w:eastAsia="es-MX"/>
              </w:rPr>
              <w:t>PLAZO </w:t>
            </w:r>
          </w:p>
        </w:tc>
        <w:tc>
          <w:tcPr>
            <w:tcW w:w="992" w:type="dxa"/>
            <w:shd w:val="clear" w:color="auto" w:fill="67ABDF"/>
          </w:tcPr>
          <w:p w14:paraId="76115AC2" w14:textId="2D68EDAE" w:rsidR="001653D8" w:rsidRPr="00D41C2E" w:rsidRDefault="001653D8" w:rsidP="00D41C2E">
            <w:pPr>
              <w:jc w:val="center"/>
              <w:rPr>
                <w:rFonts w:asciiTheme="majorHAnsi" w:eastAsia="Times New Roman" w:hAnsiTheme="majorHAnsi" w:cstheme="majorHAnsi"/>
                <w:b/>
                <w:bCs/>
                <w:color w:val="FFFFFF"/>
                <w:sz w:val="16"/>
                <w:szCs w:val="16"/>
                <w:lang w:eastAsia="es-MX"/>
              </w:rPr>
            </w:pPr>
            <w:r>
              <w:rPr>
                <w:rFonts w:asciiTheme="majorHAnsi" w:eastAsia="Times New Roman" w:hAnsiTheme="majorHAnsi" w:cstheme="majorHAnsi"/>
                <w:b/>
                <w:bCs/>
                <w:color w:val="FFFFFF"/>
                <w:sz w:val="16"/>
                <w:szCs w:val="16"/>
                <w:lang w:eastAsia="es-MX"/>
              </w:rPr>
              <w:t>AVANCE</w:t>
            </w:r>
          </w:p>
        </w:tc>
        <w:tc>
          <w:tcPr>
            <w:tcW w:w="1418" w:type="dxa"/>
            <w:shd w:val="clear" w:color="auto" w:fill="67ABDF"/>
          </w:tcPr>
          <w:p w14:paraId="3F7EEAB6" w14:textId="701D63C9" w:rsidR="001653D8" w:rsidRDefault="001653D8" w:rsidP="00D41C2E">
            <w:pPr>
              <w:jc w:val="center"/>
              <w:rPr>
                <w:rFonts w:asciiTheme="majorHAnsi" w:eastAsia="Times New Roman" w:hAnsiTheme="majorHAnsi" w:cstheme="majorHAnsi"/>
                <w:b/>
                <w:bCs/>
                <w:color w:val="FFFFFF"/>
                <w:sz w:val="16"/>
                <w:szCs w:val="16"/>
                <w:lang w:eastAsia="es-MX"/>
              </w:rPr>
            </w:pPr>
            <w:r>
              <w:rPr>
                <w:rFonts w:asciiTheme="majorHAnsi" w:eastAsia="Times New Roman" w:hAnsiTheme="majorHAnsi" w:cstheme="majorHAnsi"/>
                <w:b/>
                <w:bCs/>
                <w:color w:val="FFFFFF"/>
                <w:sz w:val="16"/>
                <w:szCs w:val="16"/>
                <w:lang w:eastAsia="es-MX"/>
              </w:rPr>
              <w:t>CUMPLIMIENTO</w:t>
            </w:r>
          </w:p>
        </w:tc>
      </w:tr>
      <w:tr w:rsidR="001653D8" w:rsidRPr="00D41C2E" w14:paraId="5DBE8334" w14:textId="02FF2003" w:rsidTr="00490B92">
        <w:trPr>
          <w:trHeight w:val="975"/>
        </w:trPr>
        <w:tc>
          <w:tcPr>
            <w:tcW w:w="689" w:type="dxa"/>
            <w:vMerge w:val="restart"/>
            <w:shd w:val="clear" w:color="auto" w:fill="auto"/>
            <w:noWrap/>
            <w:vAlign w:val="center"/>
            <w:hideMark/>
          </w:tcPr>
          <w:p w14:paraId="2ACD6862" w14:textId="77777777" w:rsidR="001653D8" w:rsidRPr="00D41C2E" w:rsidRDefault="001653D8" w:rsidP="00D41C2E">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w:t>
            </w:r>
          </w:p>
        </w:tc>
        <w:tc>
          <w:tcPr>
            <w:tcW w:w="1700" w:type="dxa"/>
            <w:vMerge w:val="restart"/>
            <w:shd w:val="clear" w:color="auto" w:fill="auto"/>
            <w:noWrap/>
            <w:vAlign w:val="center"/>
            <w:hideMark/>
          </w:tcPr>
          <w:p w14:paraId="5F7B3C26" w14:textId="77777777" w:rsidR="001653D8" w:rsidRPr="00D41C2E" w:rsidRDefault="001653D8" w:rsidP="00D41C2E">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Unificación y armonización del marco regulatorio aplicable a las IPSFL</w:t>
            </w:r>
          </w:p>
        </w:tc>
        <w:tc>
          <w:tcPr>
            <w:tcW w:w="3276" w:type="dxa"/>
            <w:shd w:val="clear" w:color="auto" w:fill="auto"/>
            <w:vAlign w:val="center"/>
            <w:hideMark/>
          </w:tcPr>
          <w:p w14:paraId="6BBFA203" w14:textId="77777777" w:rsidR="001653D8" w:rsidRPr="00D41C2E" w:rsidRDefault="001653D8" w:rsidP="00D41C2E">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Realizar un compendio de la regulación aplicable a las IPSFL. Se propone como responsable al Ministerio de Justicia y Derechos Humanos.</w:t>
            </w:r>
          </w:p>
        </w:tc>
        <w:tc>
          <w:tcPr>
            <w:tcW w:w="851" w:type="dxa"/>
            <w:shd w:val="clear" w:color="auto" w:fill="auto"/>
            <w:noWrap/>
            <w:vAlign w:val="center"/>
            <w:hideMark/>
          </w:tcPr>
          <w:p w14:paraId="31B73D7C" w14:textId="77777777" w:rsidR="001653D8" w:rsidRPr="00D41C2E" w:rsidRDefault="001653D8" w:rsidP="00D41C2E">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992" w:type="dxa"/>
            <w:vAlign w:val="center"/>
          </w:tcPr>
          <w:p w14:paraId="5DC90003" w14:textId="48F0280B" w:rsidR="001653D8" w:rsidRPr="00D41C2E" w:rsidRDefault="001653D8" w:rsidP="00490B92">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418" w:type="dxa"/>
            <w:vMerge w:val="restart"/>
            <w:vAlign w:val="center"/>
          </w:tcPr>
          <w:p w14:paraId="107BC90B" w14:textId="75164ACD" w:rsidR="001653D8" w:rsidRPr="001653D8" w:rsidRDefault="001653D8" w:rsidP="001653D8">
            <w:pPr>
              <w:jc w:val="center"/>
              <w:rPr>
                <w:rFonts w:asciiTheme="majorHAnsi" w:eastAsia="Times New Roman" w:hAnsiTheme="majorHAnsi" w:cstheme="majorHAnsi"/>
                <w:b/>
                <w:bCs/>
                <w:color w:val="000000"/>
                <w:sz w:val="18"/>
                <w:szCs w:val="18"/>
                <w:lang w:eastAsia="es-MX"/>
              </w:rPr>
            </w:pPr>
            <w:r w:rsidRPr="001653D8">
              <w:rPr>
                <w:rFonts w:asciiTheme="majorHAnsi" w:eastAsia="Times New Roman" w:hAnsiTheme="majorHAnsi" w:cstheme="majorHAnsi"/>
                <w:b/>
                <w:bCs/>
                <w:color w:val="000000"/>
                <w:sz w:val="18"/>
                <w:szCs w:val="18"/>
                <w:lang w:eastAsia="es-MX"/>
              </w:rPr>
              <w:t>0%</w:t>
            </w:r>
          </w:p>
        </w:tc>
      </w:tr>
      <w:tr w:rsidR="001653D8" w:rsidRPr="00D41C2E" w14:paraId="41AC189F" w14:textId="77DC5614" w:rsidTr="00490B92">
        <w:trPr>
          <w:trHeight w:val="677"/>
        </w:trPr>
        <w:tc>
          <w:tcPr>
            <w:tcW w:w="689" w:type="dxa"/>
            <w:vMerge/>
            <w:vAlign w:val="center"/>
            <w:hideMark/>
          </w:tcPr>
          <w:p w14:paraId="70BC54D4" w14:textId="77777777" w:rsidR="001653D8" w:rsidRPr="00D41C2E" w:rsidRDefault="001653D8" w:rsidP="00D41C2E">
            <w:pPr>
              <w:rPr>
                <w:rFonts w:asciiTheme="majorHAnsi" w:eastAsia="Times New Roman" w:hAnsiTheme="majorHAnsi" w:cstheme="majorHAnsi"/>
                <w:color w:val="000000"/>
                <w:sz w:val="18"/>
                <w:szCs w:val="18"/>
                <w:lang w:eastAsia="es-MX"/>
              </w:rPr>
            </w:pPr>
          </w:p>
        </w:tc>
        <w:tc>
          <w:tcPr>
            <w:tcW w:w="1700" w:type="dxa"/>
            <w:vMerge/>
            <w:vAlign w:val="center"/>
            <w:hideMark/>
          </w:tcPr>
          <w:p w14:paraId="57621325" w14:textId="77777777" w:rsidR="001653D8" w:rsidRPr="00D41C2E" w:rsidRDefault="001653D8" w:rsidP="00D41C2E">
            <w:pPr>
              <w:rPr>
                <w:rFonts w:asciiTheme="majorHAnsi" w:eastAsia="Times New Roman" w:hAnsiTheme="majorHAnsi" w:cstheme="majorHAnsi"/>
                <w:color w:val="000000"/>
                <w:sz w:val="18"/>
                <w:szCs w:val="18"/>
                <w:lang w:eastAsia="es-MX"/>
              </w:rPr>
            </w:pPr>
          </w:p>
        </w:tc>
        <w:tc>
          <w:tcPr>
            <w:tcW w:w="3276" w:type="dxa"/>
            <w:shd w:val="clear" w:color="auto" w:fill="auto"/>
            <w:vAlign w:val="center"/>
            <w:hideMark/>
          </w:tcPr>
          <w:p w14:paraId="5DA98DDE" w14:textId="77777777" w:rsidR="001653D8" w:rsidRPr="00D41C2E" w:rsidRDefault="001653D8" w:rsidP="00D41C2E">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Unificar regulación en Proyecto de Ley General de Transferencias.</w:t>
            </w:r>
          </w:p>
        </w:tc>
        <w:tc>
          <w:tcPr>
            <w:tcW w:w="851" w:type="dxa"/>
            <w:shd w:val="clear" w:color="auto" w:fill="auto"/>
            <w:noWrap/>
            <w:vAlign w:val="center"/>
            <w:hideMark/>
          </w:tcPr>
          <w:p w14:paraId="4CB472FC" w14:textId="77777777" w:rsidR="001653D8" w:rsidRPr="00D41C2E" w:rsidRDefault="001653D8" w:rsidP="00D41C2E">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992" w:type="dxa"/>
            <w:vAlign w:val="center"/>
          </w:tcPr>
          <w:p w14:paraId="73A1CFA7" w14:textId="02621766" w:rsidR="001653D8" w:rsidRPr="00D41C2E" w:rsidRDefault="001653D8" w:rsidP="00490B92">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418" w:type="dxa"/>
            <w:vMerge/>
            <w:vAlign w:val="center"/>
          </w:tcPr>
          <w:p w14:paraId="5ADF3F1D" w14:textId="77777777" w:rsidR="001653D8" w:rsidRPr="001653D8" w:rsidRDefault="001653D8" w:rsidP="001653D8">
            <w:pPr>
              <w:jc w:val="center"/>
              <w:rPr>
                <w:rFonts w:asciiTheme="majorHAnsi" w:eastAsia="Times New Roman" w:hAnsiTheme="majorHAnsi" w:cstheme="majorHAnsi"/>
                <w:b/>
                <w:bCs/>
                <w:color w:val="000000"/>
                <w:sz w:val="18"/>
                <w:szCs w:val="18"/>
                <w:lang w:eastAsia="es-MX"/>
              </w:rPr>
            </w:pPr>
          </w:p>
        </w:tc>
      </w:tr>
      <w:tr w:rsidR="001653D8" w:rsidRPr="00D41C2E" w14:paraId="41218FE3" w14:textId="4185337F" w:rsidTr="00490B92">
        <w:trPr>
          <w:trHeight w:val="843"/>
        </w:trPr>
        <w:tc>
          <w:tcPr>
            <w:tcW w:w="689" w:type="dxa"/>
            <w:shd w:val="clear" w:color="auto" w:fill="auto"/>
            <w:noWrap/>
            <w:vAlign w:val="center"/>
            <w:hideMark/>
          </w:tcPr>
          <w:p w14:paraId="023954E5" w14:textId="77777777" w:rsidR="001653D8" w:rsidRPr="00D41C2E" w:rsidRDefault="001653D8" w:rsidP="00D41C2E">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w:t>
            </w:r>
          </w:p>
        </w:tc>
        <w:tc>
          <w:tcPr>
            <w:tcW w:w="1700" w:type="dxa"/>
            <w:shd w:val="clear" w:color="auto" w:fill="auto"/>
            <w:vAlign w:val="center"/>
            <w:hideMark/>
          </w:tcPr>
          <w:p w14:paraId="3577C72C" w14:textId="77777777" w:rsidR="001653D8" w:rsidRPr="00D41C2E" w:rsidRDefault="001653D8" w:rsidP="00D41C2E">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Estudio y análisis estándares aplicables a entidades religiosas</w:t>
            </w:r>
          </w:p>
        </w:tc>
        <w:tc>
          <w:tcPr>
            <w:tcW w:w="3276" w:type="dxa"/>
            <w:shd w:val="clear" w:color="auto" w:fill="auto"/>
            <w:vAlign w:val="center"/>
            <w:hideMark/>
          </w:tcPr>
          <w:p w14:paraId="36A53491" w14:textId="77777777" w:rsidR="001653D8" w:rsidRPr="00D41C2E" w:rsidRDefault="001653D8" w:rsidP="00D41C2E">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Encomendaremos a un organismo imparcial la elaboración de un informe sobre esta materia.</w:t>
            </w:r>
          </w:p>
        </w:tc>
        <w:tc>
          <w:tcPr>
            <w:tcW w:w="851" w:type="dxa"/>
            <w:shd w:val="clear" w:color="auto" w:fill="auto"/>
            <w:noWrap/>
            <w:vAlign w:val="center"/>
            <w:hideMark/>
          </w:tcPr>
          <w:p w14:paraId="7ADE66FA" w14:textId="77777777" w:rsidR="001653D8" w:rsidRPr="00D41C2E" w:rsidRDefault="001653D8" w:rsidP="00D41C2E">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Mediano</w:t>
            </w:r>
          </w:p>
        </w:tc>
        <w:tc>
          <w:tcPr>
            <w:tcW w:w="992" w:type="dxa"/>
            <w:vAlign w:val="center"/>
          </w:tcPr>
          <w:p w14:paraId="4A1AD2A4" w14:textId="2F9F5F33" w:rsidR="001653D8" w:rsidRPr="00D41C2E" w:rsidRDefault="001653D8" w:rsidP="00490B92">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418" w:type="dxa"/>
            <w:vAlign w:val="center"/>
          </w:tcPr>
          <w:p w14:paraId="2E15618F" w14:textId="625F2432" w:rsidR="001653D8" w:rsidRPr="001653D8" w:rsidRDefault="001653D8" w:rsidP="001653D8">
            <w:pPr>
              <w:jc w:val="center"/>
              <w:rPr>
                <w:rFonts w:asciiTheme="majorHAnsi" w:eastAsia="Times New Roman" w:hAnsiTheme="majorHAnsi" w:cstheme="majorHAnsi"/>
                <w:b/>
                <w:bCs/>
                <w:color w:val="000000"/>
                <w:sz w:val="18"/>
                <w:szCs w:val="18"/>
                <w:lang w:eastAsia="es-MX"/>
              </w:rPr>
            </w:pPr>
            <w:r w:rsidRPr="001653D8">
              <w:rPr>
                <w:rFonts w:asciiTheme="majorHAnsi" w:eastAsia="Times New Roman" w:hAnsiTheme="majorHAnsi" w:cstheme="majorHAnsi"/>
                <w:b/>
                <w:bCs/>
                <w:color w:val="000000"/>
                <w:sz w:val="18"/>
                <w:szCs w:val="18"/>
                <w:lang w:eastAsia="es-MX"/>
              </w:rPr>
              <w:t>0%</w:t>
            </w:r>
          </w:p>
        </w:tc>
      </w:tr>
      <w:tr w:rsidR="001653D8" w:rsidRPr="00D41C2E" w14:paraId="069DE2C0" w14:textId="054C7D4D" w:rsidTr="00490B92">
        <w:trPr>
          <w:trHeight w:val="572"/>
        </w:trPr>
        <w:tc>
          <w:tcPr>
            <w:tcW w:w="689" w:type="dxa"/>
            <w:vMerge w:val="restart"/>
            <w:shd w:val="clear" w:color="auto" w:fill="auto"/>
            <w:noWrap/>
            <w:vAlign w:val="center"/>
            <w:hideMark/>
          </w:tcPr>
          <w:p w14:paraId="3F99D61A" w14:textId="77777777" w:rsidR="001653D8" w:rsidRPr="00D41C2E" w:rsidRDefault="001653D8" w:rsidP="00D41C2E">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w:t>
            </w:r>
          </w:p>
        </w:tc>
        <w:tc>
          <w:tcPr>
            <w:tcW w:w="1700" w:type="dxa"/>
            <w:vMerge w:val="restart"/>
            <w:shd w:val="clear" w:color="auto" w:fill="auto"/>
            <w:noWrap/>
            <w:vAlign w:val="center"/>
            <w:hideMark/>
          </w:tcPr>
          <w:p w14:paraId="15ECF21F" w14:textId="77777777" w:rsidR="001653D8" w:rsidRPr="00D41C2E" w:rsidRDefault="001653D8" w:rsidP="00D41C2E">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Clasificación de las IPSFL</w:t>
            </w:r>
          </w:p>
        </w:tc>
        <w:tc>
          <w:tcPr>
            <w:tcW w:w="3276" w:type="dxa"/>
            <w:shd w:val="clear" w:color="auto" w:fill="auto"/>
            <w:vAlign w:val="center"/>
            <w:hideMark/>
          </w:tcPr>
          <w:p w14:paraId="391468FE" w14:textId="77777777" w:rsidR="001653D8" w:rsidRPr="00D41C2E" w:rsidRDefault="001653D8" w:rsidP="00D41C2E">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Por vía reglamentaria fortalecer el registro de la Ley 19.862.</w:t>
            </w:r>
          </w:p>
        </w:tc>
        <w:tc>
          <w:tcPr>
            <w:tcW w:w="851" w:type="dxa"/>
            <w:shd w:val="clear" w:color="auto" w:fill="auto"/>
            <w:noWrap/>
            <w:vAlign w:val="center"/>
            <w:hideMark/>
          </w:tcPr>
          <w:p w14:paraId="5F0CBC3A" w14:textId="77777777" w:rsidR="001653D8" w:rsidRPr="00D41C2E" w:rsidRDefault="001653D8" w:rsidP="00D41C2E">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992" w:type="dxa"/>
            <w:vAlign w:val="center"/>
          </w:tcPr>
          <w:p w14:paraId="32C2559A" w14:textId="729830C7" w:rsidR="001653D8" w:rsidRPr="00D41C2E" w:rsidRDefault="001653D8" w:rsidP="00490B92">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33%</w:t>
            </w:r>
          </w:p>
        </w:tc>
        <w:tc>
          <w:tcPr>
            <w:tcW w:w="1418" w:type="dxa"/>
            <w:vMerge w:val="restart"/>
            <w:vAlign w:val="center"/>
          </w:tcPr>
          <w:p w14:paraId="626F97FC" w14:textId="6BA5FAAC" w:rsidR="001653D8" w:rsidRPr="001653D8" w:rsidRDefault="001653D8" w:rsidP="001653D8">
            <w:pPr>
              <w:jc w:val="center"/>
              <w:rPr>
                <w:rFonts w:asciiTheme="majorHAnsi" w:eastAsia="Times New Roman" w:hAnsiTheme="majorHAnsi" w:cstheme="majorHAnsi"/>
                <w:b/>
                <w:bCs/>
                <w:color w:val="000000"/>
                <w:sz w:val="18"/>
                <w:szCs w:val="18"/>
                <w:lang w:eastAsia="es-MX"/>
              </w:rPr>
            </w:pPr>
            <w:r w:rsidRPr="001653D8">
              <w:rPr>
                <w:rFonts w:asciiTheme="majorHAnsi" w:eastAsia="Times New Roman" w:hAnsiTheme="majorHAnsi" w:cstheme="majorHAnsi"/>
                <w:b/>
                <w:bCs/>
                <w:color w:val="000000"/>
                <w:sz w:val="18"/>
                <w:szCs w:val="18"/>
                <w:lang w:eastAsia="es-MX"/>
              </w:rPr>
              <w:t>17%</w:t>
            </w:r>
          </w:p>
        </w:tc>
      </w:tr>
      <w:tr w:rsidR="001653D8" w:rsidRPr="00D41C2E" w14:paraId="3A0246BD" w14:textId="6E269468" w:rsidTr="00490B92">
        <w:trPr>
          <w:trHeight w:val="1558"/>
        </w:trPr>
        <w:tc>
          <w:tcPr>
            <w:tcW w:w="689" w:type="dxa"/>
            <w:vMerge/>
            <w:vAlign w:val="center"/>
            <w:hideMark/>
          </w:tcPr>
          <w:p w14:paraId="7210A5E1" w14:textId="77777777" w:rsidR="001653D8" w:rsidRPr="00D41C2E" w:rsidRDefault="001653D8" w:rsidP="00D41C2E">
            <w:pPr>
              <w:rPr>
                <w:rFonts w:asciiTheme="majorHAnsi" w:eastAsia="Times New Roman" w:hAnsiTheme="majorHAnsi" w:cstheme="majorHAnsi"/>
                <w:color w:val="000000"/>
                <w:sz w:val="18"/>
                <w:szCs w:val="18"/>
                <w:lang w:eastAsia="es-MX"/>
              </w:rPr>
            </w:pPr>
          </w:p>
        </w:tc>
        <w:tc>
          <w:tcPr>
            <w:tcW w:w="1700" w:type="dxa"/>
            <w:vMerge/>
            <w:vAlign w:val="center"/>
            <w:hideMark/>
          </w:tcPr>
          <w:p w14:paraId="5E4CF643" w14:textId="77777777" w:rsidR="001653D8" w:rsidRPr="00D41C2E" w:rsidRDefault="001653D8" w:rsidP="00D41C2E">
            <w:pPr>
              <w:rPr>
                <w:rFonts w:asciiTheme="majorHAnsi" w:eastAsia="Times New Roman" w:hAnsiTheme="majorHAnsi" w:cstheme="majorHAnsi"/>
                <w:color w:val="000000"/>
                <w:sz w:val="18"/>
                <w:szCs w:val="18"/>
                <w:lang w:eastAsia="es-MX"/>
              </w:rPr>
            </w:pPr>
          </w:p>
        </w:tc>
        <w:tc>
          <w:tcPr>
            <w:tcW w:w="3276" w:type="dxa"/>
            <w:shd w:val="clear" w:color="auto" w:fill="auto"/>
            <w:vAlign w:val="center"/>
            <w:hideMark/>
          </w:tcPr>
          <w:p w14:paraId="4010BBD2" w14:textId="77777777" w:rsidR="001653D8" w:rsidRPr="00D41C2E" w:rsidRDefault="001653D8" w:rsidP="00D41C2E">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Recogeremos esta clasificación en Proyecto de Ley General de Transferencias.</w:t>
            </w:r>
            <w:r w:rsidRPr="00D41C2E">
              <w:rPr>
                <w:rFonts w:asciiTheme="majorHAnsi" w:eastAsia="Times New Roman" w:hAnsiTheme="majorHAnsi" w:cstheme="majorHAnsi"/>
                <w:color w:val="000000"/>
                <w:sz w:val="18"/>
                <w:szCs w:val="18"/>
                <w:lang w:eastAsia="es-MX"/>
              </w:rPr>
              <w:br/>
              <w:t>Esto se complementará con la información presupuestaria, para lo cual DIPRES trabajará para coordinar mejoras en SIGFE, con miras a poder vincular esta clasificación de información.</w:t>
            </w:r>
          </w:p>
        </w:tc>
        <w:tc>
          <w:tcPr>
            <w:tcW w:w="851" w:type="dxa"/>
            <w:shd w:val="clear" w:color="auto" w:fill="auto"/>
            <w:noWrap/>
            <w:vAlign w:val="center"/>
            <w:hideMark/>
          </w:tcPr>
          <w:p w14:paraId="5D023D9B" w14:textId="77777777" w:rsidR="001653D8" w:rsidRPr="00D41C2E" w:rsidRDefault="001653D8" w:rsidP="00D41C2E">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992" w:type="dxa"/>
            <w:vAlign w:val="center"/>
          </w:tcPr>
          <w:p w14:paraId="0799E1C8" w14:textId="78B3E04C" w:rsidR="001653D8" w:rsidRPr="00D41C2E" w:rsidRDefault="001653D8" w:rsidP="00490B92">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418" w:type="dxa"/>
            <w:vMerge/>
          </w:tcPr>
          <w:p w14:paraId="59184F45" w14:textId="4CEAED7F" w:rsidR="001653D8" w:rsidRDefault="001653D8" w:rsidP="00D41C2E">
            <w:pPr>
              <w:jc w:val="center"/>
              <w:rPr>
                <w:rFonts w:asciiTheme="majorHAnsi" w:eastAsia="Times New Roman" w:hAnsiTheme="majorHAnsi" w:cstheme="majorHAnsi"/>
                <w:color w:val="000000"/>
                <w:sz w:val="18"/>
                <w:szCs w:val="18"/>
                <w:lang w:eastAsia="es-MX"/>
              </w:rPr>
            </w:pPr>
          </w:p>
        </w:tc>
      </w:tr>
    </w:tbl>
    <w:p w14:paraId="70159819" w14:textId="77777777" w:rsidR="008657BA" w:rsidRDefault="008657BA"/>
    <w:p w14:paraId="50FA64B5" w14:textId="77777777" w:rsidR="007A1FB2" w:rsidRDefault="007A1FB2">
      <w:pPr>
        <w:rPr>
          <w:rFonts w:cstheme="minorHAnsi"/>
          <w:b/>
          <w:bCs/>
          <w:color w:val="67ABDF"/>
          <w:lang w:val="es-ES_tradnl"/>
        </w:rPr>
      </w:pPr>
      <w:r>
        <w:rPr>
          <w:rFonts w:cstheme="minorHAnsi"/>
          <w:b/>
          <w:bCs/>
          <w:color w:val="67ABDF"/>
          <w:lang w:val="es-ES_tradnl"/>
        </w:rPr>
        <w:br w:type="page"/>
      </w:r>
    </w:p>
    <w:p w14:paraId="5153E5B9" w14:textId="426FAADB" w:rsidR="008657BA" w:rsidRPr="002F7611" w:rsidRDefault="008657BA" w:rsidP="008657BA">
      <w:pPr>
        <w:rPr>
          <w:rFonts w:cstheme="minorHAnsi"/>
          <w:b/>
          <w:bCs/>
          <w:color w:val="67ABDF"/>
          <w:lang w:val="es-ES_tradnl"/>
        </w:rPr>
      </w:pPr>
      <w:r w:rsidRPr="008657BA">
        <w:rPr>
          <w:rFonts w:cstheme="minorHAnsi"/>
          <w:b/>
          <w:bCs/>
          <w:color w:val="67ABDF"/>
          <w:lang w:val="es-ES_tradnl"/>
        </w:rPr>
        <w:lastRenderedPageBreak/>
        <w:t>FORMAS DE RELACIONAMIENTO DE LAS IPSFL CON EL ESTADO</w:t>
      </w:r>
    </w:p>
    <w:p w14:paraId="42720E35" w14:textId="2FD6C4BC" w:rsidR="008657BA" w:rsidRDefault="008657BA">
      <w:pPr>
        <w:rPr>
          <w:rFonts w:cstheme="minorHAnsi"/>
          <w:color w:val="404040" w:themeColor="text1" w:themeTint="BF"/>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7754CD" w:rsidRPr="008B4B40" w14:paraId="11B8F059" w14:textId="77777777" w:rsidTr="008B4B40">
        <w:tc>
          <w:tcPr>
            <w:tcW w:w="2405" w:type="dxa"/>
          </w:tcPr>
          <w:p w14:paraId="7CB8189A" w14:textId="432851C9" w:rsidR="007754CD" w:rsidRPr="008B4B40" w:rsidRDefault="007754CD" w:rsidP="008B4B40">
            <w:pPr>
              <w:jc w:val="center"/>
              <w:rPr>
                <w:rFonts w:asciiTheme="majorHAnsi" w:hAnsiTheme="majorHAnsi" w:cstheme="majorHAnsi"/>
                <w:color w:val="404040" w:themeColor="text1" w:themeTint="BF"/>
                <w:lang w:val="es-ES_tradnl"/>
              </w:rPr>
            </w:pPr>
            <w:r w:rsidRPr="008B4B40">
              <w:rPr>
                <w:rFonts w:asciiTheme="majorHAnsi" w:hAnsiTheme="majorHAnsi" w:cstheme="majorHAnsi"/>
                <w:noProof/>
              </w:rPr>
              <w:drawing>
                <wp:inline distT="0" distB="0" distL="0" distR="0" wp14:anchorId="7CD66BD9" wp14:editId="48F4703F">
                  <wp:extent cx="1166495" cy="1063353"/>
                  <wp:effectExtent l="0" t="0" r="0" b="0"/>
                  <wp:docPr id="10533857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385733" name=""/>
                          <pic:cNvPicPr/>
                        </pic:nvPicPr>
                        <pic:blipFill rotWithShape="1">
                          <a:blip r:embed="rId7"/>
                          <a:srcRect l="16501" t="16544" r="18327" b="1"/>
                          <a:stretch/>
                        </pic:blipFill>
                        <pic:spPr bwMode="auto">
                          <a:xfrm>
                            <a:off x="0" y="0"/>
                            <a:ext cx="1184643" cy="1079896"/>
                          </a:xfrm>
                          <a:prstGeom prst="rect">
                            <a:avLst/>
                          </a:prstGeom>
                          <a:ln>
                            <a:noFill/>
                          </a:ln>
                          <a:extLst>
                            <a:ext uri="{53640926-AAD7-44D8-BBD7-CCE9431645EC}">
                              <a14:shadowObscured xmlns:a14="http://schemas.microsoft.com/office/drawing/2010/main"/>
                            </a:ext>
                          </a:extLst>
                        </pic:spPr>
                      </pic:pic>
                    </a:graphicData>
                  </a:graphic>
                </wp:inline>
              </w:drawing>
            </w:r>
          </w:p>
        </w:tc>
        <w:tc>
          <w:tcPr>
            <w:tcW w:w="6423" w:type="dxa"/>
          </w:tcPr>
          <w:p w14:paraId="3D94D4EA" w14:textId="6F1E4FE8" w:rsidR="007754CD" w:rsidRPr="00334BA8" w:rsidRDefault="00490B92" w:rsidP="00490B92">
            <w:pPr>
              <w:jc w:val="both"/>
              <w:rPr>
                <w:rFonts w:asciiTheme="majorHAnsi" w:hAnsiTheme="majorHAnsi" w:cstheme="majorHAnsi"/>
                <w:color w:val="404040" w:themeColor="text1" w:themeTint="BF"/>
              </w:rPr>
            </w:pPr>
            <w:r w:rsidRPr="00490B92">
              <w:rPr>
                <w:rFonts w:asciiTheme="majorHAnsi" w:hAnsiTheme="majorHAnsi" w:cstheme="majorHAnsi" w:hint="cs"/>
                <w:color w:val="404040" w:themeColor="text1" w:themeTint="BF"/>
                <w:lang w:val="es-ES_tradnl"/>
              </w:rPr>
              <w:t xml:space="preserve">Al alero de la </w:t>
            </w:r>
            <w:r w:rsidRPr="00490B92">
              <w:rPr>
                <w:rFonts w:asciiTheme="majorHAnsi" w:hAnsiTheme="majorHAnsi" w:cstheme="majorHAnsi" w:hint="cs"/>
                <w:b/>
                <w:bCs/>
                <w:color w:val="404040" w:themeColor="text1" w:themeTint="BF"/>
                <w:lang w:val="es-ES_tradnl"/>
              </w:rPr>
              <w:t xml:space="preserve">Ley de Presupuestos para el sector público 2024 </w:t>
            </w:r>
            <w:r w:rsidRPr="00490B92">
              <w:rPr>
                <w:rFonts w:asciiTheme="majorHAnsi" w:hAnsiTheme="majorHAnsi" w:cstheme="majorHAnsi" w:hint="cs"/>
                <w:color w:val="404040" w:themeColor="text1" w:themeTint="BF"/>
                <w:lang w:val="es-ES_tradnl"/>
              </w:rPr>
              <w:t>se incorporaron</w:t>
            </w:r>
            <w:r w:rsidR="00334BA8">
              <w:rPr>
                <w:rFonts w:asciiTheme="majorHAnsi" w:hAnsiTheme="majorHAnsi" w:cstheme="majorHAnsi"/>
                <w:color w:val="404040" w:themeColor="text1" w:themeTint="BF"/>
                <w:lang w:val="es-ES_tradnl"/>
              </w:rPr>
              <w:t xml:space="preserve"> diversas</w:t>
            </w:r>
            <w:r w:rsidRPr="00490B92">
              <w:rPr>
                <w:rFonts w:asciiTheme="majorHAnsi" w:hAnsiTheme="majorHAnsi" w:cstheme="majorHAnsi" w:hint="cs"/>
                <w:color w:val="404040" w:themeColor="text1" w:themeTint="BF"/>
                <w:lang w:val="es-ES_tradnl"/>
              </w:rPr>
              <w:t xml:space="preserve"> medidas y acciones para resguardar el buen uso de los recursos públicos, sin embargo, </w:t>
            </w:r>
            <w:r w:rsidR="00334BA8">
              <w:rPr>
                <w:rFonts w:asciiTheme="majorHAnsi" w:hAnsiTheme="majorHAnsi" w:cstheme="majorHAnsi"/>
                <w:color w:val="404040" w:themeColor="text1" w:themeTint="BF"/>
                <w:lang w:val="es-ES_tradnl"/>
              </w:rPr>
              <w:t>hay que tener presente que tiene un</w:t>
            </w:r>
            <w:r w:rsidRPr="00490B92">
              <w:rPr>
                <w:rFonts w:asciiTheme="majorHAnsi" w:hAnsiTheme="majorHAnsi" w:cstheme="majorHAnsi" w:hint="cs"/>
                <w:color w:val="404040" w:themeColor="text1" w:themeTint="BF"/>
                <w:lang w:val="es-ES_tradnl"/>
              </w:rPr>
              <w:t xml:space="preserve"> efecto limitado sólo al año de ejecución presupuestaria</w:t>
            </w:r>
            <w:r w:rsidR="00334BA8">
              <w:rPr>
                <w:rFonts w:asciiTheme="majorHAnsi" w:hAnsiTheme="majorHAnsi" w:cstheme="majorHAnsi"/>
                <w:color w:val="404040" w:themeColor="text1" w:themeTint="BF"/>
                <w:lang w:val="es-ES_tradnl"/>
              </w:rPr>
              <w:t xml:space="preserve"> (2024).</w:t>
            </w:r>
          </w:p>
        </w:tc>
      </w:tr>
    </w:tbl>
    <w:p w14:paraId="305DEB89" w14:textId="77777777" w:rsidR="007754CD" w:rsidRPr="002F7611" w:rsidRDefault="007754CD">
      <w:pPr>
        <w:rPr>
          <w:rFonts w:cstheme="minorHAnsi"/>
          <w:color w:val="404040" w:themeColor="text1" w:themeTint="BF"/>
          <w:lang w:val="es-ES_tradnl"/>
        </w:rPr>
      </w:pPr>
    </w:p>
    <w:tbl>
      <w:tblPr>
        <w:tblW w:w="8828" w:type="dxa"/>
        <w:tblBorders>
          <w:top w:val="single" w:sz="4" w:space="0" w:color="67ABDF"/>
          <w:left w:val="single" w:sz="4" w:space="0" w:color="67ABDF"/>
          <w:bottom w:val="single" w:sz="4" w:space="0" w:color="67ABDF"/>
          <w:right w:val="single" w:sz="4" w:space="0" w:color="67ABDF"/>
          <w:insideH w:val="single" w:sz="4" w:space="0" w:color="67ABDF"/>
          <w:insideV w:val="single" w:sz="4" w:space="0" w:color="67ABDF"/>
        </w:tblBorders>
        <w:tblLayout w:type="fixed"/>
        <w:tblCellMar>
          <w:left w:w="70" w:type="dxa"/>
          <w:right w:w="70" w:type="dxa"/>
        </w:tblCellMar>
        <w:tblLook w:val="04A0" w:firstRow="1" w:lastRow="0" w:firstColumn="1" w:lastColumn="0" w:noHBand="0" w:noVBand="1"/>
      </w:tblPr>
      <w:tblGrid>
        <w:gridCol w:w="715"/>
        <w:gridCol w:w="1772"/>
        <w:gridCol w:w="3462"/>
        <w:gridCol w:w="850"/>
        <w:gridCol w:w="804"/>
        <w:gridCol w:w="1225"/>
      </w:tblGrid>
      <w:tr w:rsidR="001653D8" w:rsidRPr="00D41C2E" w14:paraId="52ABB935" w14:textId="26158DA0" w:rsidTr="007331CF">
        <w:trPr>
          <w:trHeight w:val="366"/>
        </w:trPr>
        <w:tc>
          <w:tcPr>
            <w:tcW w:w="715" w:type="dxa"/>
            <w:shd w:val="clear" w:color="auto" w:fill="67ABDF"/>
            <w:noWrap/>
            <w:vAlign w:val="center"/>
          </w:tcPr>
          <w:p w14:paraId="3DB8D67B" w14:textId="186AB740" w:rsidR="001653D8" w:rsidRPr="00D41C2E" w:rsidRDefault="001653D8" w:rsidP="000F1D3F">
            <w:pPr>
              <w:jc w:val="center"/>
              <w:rPr>
                <w:rFonts w:asciiTheme="majorHAnsi" w:eastAsia="Times New Roman" w:hAnsiTheme="majorHAnsi" w:cstheme="majorHAnsi"/>
                <w:color w:val="000000"/>
                <w:sz w:val="18"/>
                <w:szCs w:val="18"/>
                <w:lang w:eastAsia="es-MX"/>
              </w:rPr>
            </w:pPr>
            <w:proofErr w:type="spellStart"/>
            <w:r w:rsidRPr="00D41C2E">
              <w:rPr>
                <w:rFonts w:asciiTheme="majorHAnsi" w:eastAsia="Times New Roman" w:hAnsiTheme="majorHAnsi" w:cstheme="majorHAnsi"/>
                <w:b/>
                <w:bCs/>
                <w:color w:val="FFFFFF"/>
                <w:sz w:val="16"/>
                <w:szCs w:val="16"/>
                <w:lang w:eastAsia="es-MX"/>
              </w:rPr>
              <w:t>N°</w:t>
            </w:r>
            <w:proofErr w:type="spellEnd"/>
            <w:r w:rsidRPr="00D41C2E">
              <w:rPr>
                <w:rFonts w:asciiTheme="majorHAnsi" w:eastAsia="Times New Roman" w:hAnsiTheme="majorHAnsi" w:cstheme="majorHAnsi"/>
                <w:b/>
                <w:bCs/>
                <w:color w:val="FFFFFF"/>
                <w:sz w:val="16"/>
                <w:szCs w:val="16"/>
                <w:lang w:eastAsia="es-MX"/>
              </w:rPr>
              <w:t xml:space="preserve"> </w:t>
            </w:r>
          </w:p>
        </w:tc>
        <w:tc>
          <w:tcPr>
            <w:tcW w:w="1772" w:type="dxa"/>
            <w:shd w:val="clear" w:color="auto" w:fill="67ABDF"/>
            <w:noWrap/>
            <w:vAlign w:val="center"/>
          </w:tcPr>
          <w:p w14:paraId="317CC6A5" w14:textId="3F394135" w:rsidR="001653D8" w:rsidRPr="00D41C2E" w:rsidRDefault="001653D8" w:rsidP="000F1D3F">
            <w:pP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MEDIDA</w:t>
            </w:r>
          </w:p>
        </w:tc>
        <w:tc>
          <w:tcPr>
            <w:tcW w:w="3462" w:type="dxa"/>
            <w:shd w:val="clear" w:color="auto" w:fill="67ABDF"/>
            <w:vAlign w:val="center"/>
          </w:tcPr>
          <w:p w14:paraId="1ADD727F" w14:textId="706EE9DA" w:rsidR="001653D8" w:rsidRPr="00D41C2E" w:rsidRDefault="001653D8" w:rsidP="000F1D3F">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FFFFFF"/>
                <w:sz w:val="16"/>
                <w:szCs w:val="16"/>
                <w:lang w:eastAsia="es-MX"/>
              </w:rPr>
              <w:t>ACCIÓN</w:t>
            </w:r>
          </w:p>
        </w:tc>
        <w:tc>
          <w:tcPr>
            <w:tcW w:w="850" w:type="dxa"/>
            <w:shd w:val="clear" w:color="auto" w:fill="67ABDF"/>
            <w:noWrap/>
            <w:vAlign w:val="center"/>
          </w:tcPr>
          <w:p w14:paraId="3C7E41B6" w14:textId="4199B18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FFFFFF"/>
                <w:sz w:val="16"/>
                <w:szCs w:val="16"/>
                <w:lang w:eastAsia="es-MX"/>
              </w:rPr>
              <w:t>PLAZO </w:t>
            </w:r>
          </w:p>
        </w:tc>
        <w:tc>
          <w:tcPr>
            <w:tcW w:w="804" w:type="dxa"/>
            <w:shd w:val="clear" w:color="auto" w:fill="67ABDF"/>
          </w:tcPr>
          <w:p w14:paraId="6B6A9322" w14:textId="0EC307C3" w:rsidR="001653D8" w:rsidRDefault="001653D8" w:rsidP="000F1D3F">
            <w:pPr>
              <w:jc w:val="center"/>
              <w:rPr>
                <w:rFonts w:asciiTheme="majorHAnsi" w:eastAsia="Times New Roman" w:hAnsiTheme="majorHAnsi" w:cstheme="majorHAnsi"/>
                <w:b/>
                <w:bCs/>
                <w:color w:val="FFFFFF"/>
                <w:sz w:val="16"/>
                <w:szCs w:val="16"/>
                <w:lang w:eastAsia="es-MX"/>
              </w:rPr>
            </w:pPr>
            <w:r>
              <w:rPr>
                <w:rFonts w:asciiTheme="majorHAnsi" w:eastAsia="Times New Roman" w:hAnsiTheme="majorHAnsi" w:cstheme="majorHAnsi"/>
                <w:b/>
                <w:bCs/>
                <w:color w:val="FFFFFF"/>
                <w:sz w:val="16"/>
                <w:szCs w:val="16"/>
                <w:lang w:eastAsia="es-MX"/>
              </w:rPr>
              <w:t>AVANCE</w:t>
            </w:r>
          </w:p>
        </w:tc>
        <w:tc>
          <w:tcPr>
            <w:tcW w:w="1225" w:type="dxa"/>
            <w:shd w:val="clear" w:color="auto" w:fill="67ABDF"/>
          </w:tcPr>
          <w:p w14:paraId="23E6FE35" w14:textId="15346BCE" w:rsidR="001653D8" w:rsidRDefault="001653D8" w:rsidP="000F1D3F">
            <w:pPr>
              <w:jc w:val="center"/>
              <w:rPr>
                <w:rFonts w:asciiTheme="majorHAnsi" w:eastAsia="Times New Roman" w:hAnsiTheme="majorHAnsi" w:cstheme="majorHAnsi"/>
                <w:b/>
                <w:bCs/>
                <w:color w:val="FFFFFF"/>
                <w:sz w:val="16"/>
                <w:szCs w:val="16"/>
                <w:lang w:eastAsia="es-MX"/>
              </w:rPr>
            </w:pPr>
            <w:r>
              <w:rPr>
                <w:rFonts w:asciiTheme="majorHAnsi" w:eastAsia="Times New Roman" w:hAnsiTheme="majorHAnsi" w:cstheme="majorHAnsi"/>
                <w:b/>
                <w:bCs/>
                <w:color w:val="FFFFFF"/>
                <w:sz w:val="16"/>
                <w:szCs w:val="16"/>
                <w:lang w:eastAsia="es-MX"/>
              </w:rPr>
              <w:t>CUMPLIMIENTO</w:t>
            </w:r>
          </w:p>
        </w:tc>
      </w:tr>
      <w:tr w:rsidR="001653D8" w:rsidRPr="00D41C2E" w14:paraId="7DD461AD" w14:textId="6FB2EAE0" w:rsidTr="007331CF">
        <w:trPr>
          <w:trHeight w:val="1191"/>
        </w:trPr>
        <w:tc>
          <w:tcPr>
            <w:tcW w:w="715" w:type="dxa"/>
            <w:vMerge w:val="restart"/>
            <w:shd w:val="clear" w:color="auto" w:fill="auto"/>
            <w:noWrap/>
            <w:vAlign w:val="center"/>
            <w:hideMark/>
          </w:tcPr>
          <w:p w14:paraId="04609BED"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4</w:t>
            </w:r>
          </w:p>
        </w:tc>
        <w:tc>
          <w:tcPr>
            <w:tcW w:w="1772" w:type="dxa"/>
            <w:vMerge w:val="restart"/>
            <w:shd w:val="clear" w:color="auto" w:fill="auto"/>
            <w:noWrap/>
            <w:vAlign w:val="center"/>
            <w:hideMark/>
          </w:tcPr>
          <w:p w14:paraId="0C78374D" w14:textId="77777777" w:rsidR="001653D8" w:rsidRPr="00D41C2E" w:rsidRDefault="001653D8" w:rsidP="007331C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Ley General de Transferencias</w:t>
            </w:r>
          </w:p>
        </w:tc>
        <w:tc>
          <w:tcPr>
            <w:tcW w:w="3462" w:type="dxa"/>
            <w:shd w:val="clear" w:color="auto" w:fill="auto"/>
            <w:vAlign w:val="center"/>
            <w:hideMark/>
          </w:tcPr>
          <w:p w14:paraId="1F4BED36"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 y legislativa</w:t>
            </w:r>
            <w:r w:rsidRPr="00D41C2E">
              <w:rPr>
                <w:rFonts w:asciiTheme="majorHAnsi" w:eastAsia="Times New Roman" w:hAnsiTheme="majorHAnsi" w:cstheme="majorHAnsi"/>
                <w:color w:val="000000"/>
                <w:sz w:val="18"/>
                <w:szCs w:val="18"/>
                <w:lang w:eastAsia="es-MX"/>
              </w:rPr>
              <w:br/>
              <w:t>En el corto plazo, se avanzará en la Ley de Presupuestos 2024 y en la implementación del Oficio Circular N°20 del 11 de agosto de 2023, del Ministerio de Hacienda.</w:t>
            </w:r>
          </w:p>
        </w:tc>
        <w:tc>
          <w:tcPr>
            <w:tcW w:w="850" w:type="dxa"/>
            <w:shd w:val="clear" w:color="auto" w:fill="auto"/>
            <w:noWrap/>
            <w:vAlign w:val="center"/>
            <w:hideMark/>
          </w:tcPr>
          <w:p w14:paraId="3ED7F4BA"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508512D6" w14:textId="18E25304"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100%</w:t>
            </w:r>
          </w:p>
        </w:tc>
        <w:tc>
          <w:tcPr>
            <w:tcW w:w="1225" w:type="dxa"/>
            <w:vMerge w:val="restart"/>
            <w:vAlign w:val="center"/>
          </w:tcPr>
          <w:p w14:paraId="3DE99959" w14:textId="13BF16FA"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50%</w:t>
            </w:r>
          </w:p>
        </w:tc>
      </w:tr>
      <w:tr w:rsidR="001653D8" w:rsidRPr="00D41C2E" w14:paraId="3993018B" w14:textId="45ACBC7B" w:rsidTr="007331CF">
        <w:trPr>
          <w:trHeight w:val="839"/>
        </w:trPr>
        <w:tc>
          <w:tcPr>
            <w:tcW w:w="715" w:type="dxa"/>
            <w:vMerge/>
            <w:vAlign w:val="center"/>
            <w:hideMark/>
          </w:tcPr>
          <w:p w14:paraId="57B42F72" w14:textId="77777777" w:rsidR="001653D8" w:rsidRPr="00D41C2E" w:rsidRDefault="001653D8" w:rsidP="000F1D3F">
            <w:pPr>
              <w:rPr>
                <w:rFonts w:asciiTheme="majorHAnsi" w:eastAsia="Times New Roman" w:hAnsiTheme="majorHAnsi" w:cstheme="majorHAnsi"/>
                <w:color w:val="000000"/>
                <w:sz w:val="18"/>
                <w:szCs w:val="18"/>
                <w:lang w:eastAsia="es-MX"/>
              </w:rPr>
            </w:pPr>
          </w:p>
        </w:tc>
        <w:tc>
          <w:tcPr>
            <w:tcW w:w="1772" w:type="dxa"/>
            <w:vMerge/>
            <w:vAlign w:val="center"/>
            <w:hideMark/>
          </w:tcPr>
          <w:p w14:paraId="59D8D214" w14:textId="77777777" w:rsidR="001653D8" w:rsidRPr="00D41C2E" w:rsidRDefault="001653D8" w:rsidP="007331CF">
            <w:pPr>
              <w:rPr>
                <w:rFonts w:asciiTheme="majorHAnsi" w:eastAsia="Times New Roman" w:hAnsiTheme="majorHAnsi" w:cstheme="majorHAnsi"/>
                <w:color w:val="000000"/>
                <w:sz w:val="18"/>
                <w:szCs w:val="18"/>
                <w:lang w:eastAsia="es-MX"/>
              </w:rPr>
            </w:pPr>
          </w:p>
        </w:tc>
        <w:tc>
          <w:tcPr>
            <w:tcW w:w="3462" w:type="dxa"/>
            <w:shd w:val="clear" w:color="auto" w:fill="auto"/>
            <w:vAlign w:val="center"/>
            <w:hideMark/>
          </w:tcPr>
          <w:p w14:paraId="17FEC116"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Presentación de un proyecto de ley que regule el marco general de las transferencias de recursos que realiza el Estado a entidades privadas.</w:t>
            </w:r>
          </w:p>
        </w:tc>
        <w:tc>
          <w:tcPr>
            <w:tcW w:w="850" w:type="dxa"/>
            <w:shd w:val="clear" w:color="auto" w:fill="auto"/>
            <w:noWrap/>
            <w:vAlign w:val="center"/>
            <w:hideMark/>
          </w:tcPr>
          <w:p w14:paraId="234217AD"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09526FDB" w14:textId="7D15B382"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vAlign w:val="center"/>
          </w:tcPr>
          <w:p w14:paraId="0EC789A9" w14:textId="77777777" w:rsidR="001653D8" w:rsidRPr="00F75D56" w:rsidRDefault="001653D8" w:rsidP="00F75D56">
            <w:pPr>
              <w:jc w:val="center"/>
              <w:rPr>
                <w:rFonts w:asciiTheme="majorHAnsi" w:eastAsia="Times New Roman" w:hAnsiTheme="majorHAnsi" w:cstheme="majorHAnsi"/>
                <w:b/>
                <w:bCs/>
                <w:color w:val="000000"/>
                <w:sz w:val="18"/>
                <w:szCs w:val="18"/>
                <w:lang w:eastAsia="es-MX"/>
              </w:rPr>
            </w:pPr>
          </w:p>
        </w:tc>
      </w:tr>
      <w:tr w:rsidR="001653D8" w:rsidRPr="00D41C2E" w14:paraId="3C6EC91C" w14:textId="17F8DD1B" w:rsidTr="007331CF">
        <w:trPr>
          <w:trHeight w:val="1376"/>
        </w:trPr>
        <w:tc>
          <w:tcPr>
            <w:tcW w:w="715" w:type="dxa"/>
            <w:vMerge w:val="restart"/>
            <w:shd w:val="clear" w:color="auto" w:fill="auto"/>
            <w:noWrap/>
            <w:vAlign w:val="center"/>
            <w:hideMark/>
          </w:tcPr>
          <w:p w14:paraId="57AF0617"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5</w:t>
            </w:r>
          </w:p>
        </w:tc>
        <w:tc>
          <w:tcPr>
            <w:tcW w:w="1772" w:type="dxa"/>
            <w:vMerge w:val="restart"/>
            <w:shd w:val="clear" w:color="auto" w:fill="auto"/>
            <w:vAlign w:val="center"/>
            <w:hideMark/>
          </w:tcPr>
          <w:p w14:paraId="658BFD0D" w14:textId="77777777" w:rsidR="001653D8" w:rsidRPr="00D41C2E" w:rsidRDefault="001653D8" w:rsidP="007331C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Oficina Presupuestaria del Congreso Nacional o instalar una oficina en cada Cámara</w:t>
            </w:r>
          </w:p>
        </w:tc>
        <w:tc>
          <w:tcPr>
            <w:tcW w:w="3462" w:type="dxa"/>
            <w:shd w:val="clear" w:color="auto" w:fill="auto"/>
            <w:vAlign w:val="center"/>
            <w:hideMark/>
          </w:tcPr>
          <w:p w14:paraId="799425F2"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Se remitirá un oficio al Presidente de cada Cámara del Congreso Nacional para fines pertinentes, con el fin de generar comunicaciones más fluidas e insumos que se requieran para la tramitación y control de la ley de Presupuestos.</w:t>
            </w:r>
          </w:p>
        </w:tc>
        <w:tc>
          <w:tcPr>
            <w:tcW w:w="850" w:type="dxa"/>
            <w:shd w:val="clear" w:color="auto" w:fill="auto"/>
            <w:noWrap/>
            <w:vAlign w:val="center"/>
            <w:hideMark/>
          </w:tcPr>
          <w:p w14:paraId="4380BA10"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3DED0151" w14:textId="364E8373"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67%</w:t>
            </w:r>
          </w:p>
        </w:tc>
        <w:tc>
          <w:tcPr>
            <w:tcW w:w="1225" w:type="dxa"/>
            <w:vMerge w:val="restart"/>
            <w:vAlign w:val="center"/>
          </w:tcPr>
          <w:p w14:paraId="41471DF0" w14:textId="50BC51E2"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33%</w:t>
            </w:r>
          </w:p>
        </w:tc>
      </w:tr>
      <w:tr w:rsidR="001653D8" w:rsidRPr="00D41C2E" w14:paraId="18A433F2" w14:textId="605464D1" w:rsidTr="007331CF">
        <w:trPr>
          <w:trHeight w:val="1254"/>
        </w:trPr>
        <w:tc>
          <w:tcPr>
            <w:tcW w:w="715" w:type="dxa"/>
            <w:vMerge/>
            <w:vAlign w:val="center"/>
            <w:hideMark/>
          </w:tcPr>
          <w:p w14:paraId="01261416" w14:textId="77777777" w:rsidR="001653D8" w:rsidRPr="00D41C2E" w:rsidRDefault="001653D8" w:rsidP="000F1D3F">
            <w:pPr>
              <w:rPr>
                <w:rFonts w:asciiTheme="majorHAnsi" w:eastAsia="Times New Roman" w:hAnsiTheme="majorHAnsi" w:cstheme="majorHAnsi"/>
                <w:color w:val="000000"/>
                <w:sz w:val="18"/>
                <w:szCs w:val="18"/>
                <w:lang w:eastAsia="es-MX"/>
              </w:rPr>
            </w:pPr>
          </w:p>
        </w:tc>
        <w:tc>
          <w:tcPr>
            <w:tcW w:w="1772" w:type="dxa"/>
            <w:vMerge/>
            <w:vAlign w:val="center"/>
            <w:hideMark/>
          </w:tcPr>
          <w:p w14:paraId="40CB14BF" w14:textId="77777777" w:rsidR="001653D8" w:rsidRPr="00D41C2E" w:rsidRDefault="001653D8" w:rsidP="007331CF">
            <w:pPr>
              <w:rPr>
                <w:rFonts w:asciiTheme="majorHAnsi" w:eastAsia="Times New Roman" w:hAnsiTheme="majorHAnsi" w:cstheme="majorHAnsi"/>
                <w:color w:val="000000"/>
                <w:sz w:val="18"/>
                <w:szCs w:val="18"/>
                <w:lang w:eastAsia="es-MX"/>
              </w:rPr>
            </w:pPr>
          </w:p>
        </w:tc>
        <w:tc>
          <w:tcPr>
            <w:tcW w:w="3462" w:type="dxa"/>
            <w:shd w:val="clear" w:color="auto" w:fill="auto"/>
            <w:vAlign w:val="center"/>
            <w:hideMark/>
          </w:tcPr>
          <w:p w14:paraId="5C9C2176"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Avanzaremos en medidas tendientes a fortalecer una Oficina Presupuestaria del Congreso, ya sea mediante una nueva institucionalidad o mediante el fortalecimiento de la actual, a través de una modificación en la Ley Orgánica del Congreso.</w:t>
            </w:r>
          </w:p>
        </w:tc>
        <w:tc>
          <w:tcPr>
            <w:tcW w:w="850" w:type="dxa"/>
            <w:shd w:val="clear" w:color="auto" w:fill="auto"/>
            <w:noWrap/>
            <w:vAlign w:val="center"/>
            <w:hideMark/>
          </w:tcPr>
          <w:p w14:paraId="6CBC8E19"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00E1F080" w14:textId="141BDD58"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vAlign w:val="center"/>
          </w:tcPr>
          <w:p w14:paraId="20AC7D98" w14:textId="77777777" w:rsidR="001653D8" w:rsidRPr="00F75D56" w:rsidRDefault="001653D8" w:rsidP="00F75D56">
            <w:pPr>
              <w:jc w:val="center"/>
              <w:rPr>
                <w:rFonts w:asciiTheme="majorHAnsi" w:eastAsia="Times New Roman" w:hAnsiTheme="majorHAnsi" w:cstheme="majorHAnsi"/>
                <w:b/>
                <w:bCs/>
                <w:color w:val="000000"/>
                <w:sz w:val="18"/>
                <w:szCs w:val="18"/>
                <w:lang w:eastAsia="es-MX"/>
              </w:rPr>
            </w:pPr>
          </w:p>
        </w:tc>
      </w:tr>
      <w:tr w:rsidR="001653D8" w:rsidRPr="00D41C2E" w14:paraId="70FFFC7C" w14:textId="145AF7A1" w:rsidTr="007331CF">
        <w:trPr>
          <w:trHeight w:val="1202"/>
        </w:trPr>
        <w:tc>
          <w:tcPr>
            <w:tcW w:w="715" w:type="dxa"/>
            <w:vMerge w:val="restart"/>
            <w:shd w:val="clear" w:color="auto" w:fill="auto"/>
            <w:noWrap/>
            <w:vAlign w:val="center"/>
            <w:hideMark/>
          </w:tcPr>
          <w:p w14:paraId="6E697CBD"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6</w:t>
            </w:r>
          </w:p>
        </w:tc>
        <w:tc>
          <w:tcPr>
            <w:tcW w:w="1772" w:type="dxa"/>
            <w:vMerge w:val="restart"/>
            <w:shd w:val="clear" w:color="auto" w:fill="auto"/>
            <w:noWrap/>
            <w:vAlign w:val="center"/>
            <w:hideMark/>
          </w:tcPr>
          <w:p w14:paraId="2F8783CC" w14:textId="77777777" w:rsidR="001653D8" w:rsidRPr="00D41C2E" w:rsidRDefault="001653D8" w:rsidP="007331C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Regulación de glosas</w:t>
            </w:r>
          </w:p>
        </w:tc>
        <w:tc>
          <w:tcPr>
            <w:tcW w:w="3462" w:type="dxa"/>
            <w:shd w:val="clear" w:color="auto" w:fill="auto"/>
            <w:vAlign w:val="center"/>
            <w:hideMark/>
          </w:tcPr>
          <w:p w14:paraId="02FC3839"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La Dirección de Presupuestos ya está trabajando en racionalizar las glosas en la Ley de Presupuestos 2024, y fortalecer los artículos que son de carácter general en el articulado de la ley.</w:t>
            </w:r>
          </w:p>
        </w:tc>
        <w:tc>
          <w:tcPr>
            <w:tcW w:w="850" w:type="dxa"/>
            <w:shd w:val="clear" w:color="auto" w:fill="auto"/>
            <w:noWrap/>
            <w:vAlign w:val="center"/>
            <w:hideMark/>
          </w:tcPr>
          <w:p w14:paraId="2105A7B8"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3F698503" w14:textId="43A50E35"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100%</w:t>
            </w:r>
          </w:p>
        </w:tc>
        <w:tc>
          <w:tcPr>
            <w:tcW w:w="1225" w:type="dxa"/>
            <w:vMerge w:val="restart"/>
            <w:vAlign w:val="center"/>
          </w:tcPr>
          <w:p w14:paraId="00DA92F0" w14:textId="0E04DC85"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50%</w:t>
            </w:r>
          </w:p>
        </w:tc>
      </w:tr>
      <w:tr w:rsidR="001653D8" w:rsidRPr="00D41C2E" w14:paraId="2F695C18" w14:textId="5C43C48C" w:rsidTr="007331CF">
        <w:trPr>
          <w:trHeight w:val="680"/>
        </w:trPr>
        <w:tc>
          <w:tcPr>
            <w:tcW w:w="715" w:type="dxa"/>
            <w:vMerge/>
            <w:vAlign w:val="center"/>
            <w:hideMark/>
          </w:tcPr>
          <w:p w14:paraId="27860C32" w14:textId="77777777" w:rsidR="001653D8" w:rsidRPr="00D41C2E" w:rsidRDefault="001653D8" w:rsidP="000F1D3F">
            <w:pPr>
              <w:rPr>
                <w:rFonts w:asciiTheme="majorHAnsi" w:eastAsia="Times New Roman" w:hAnsiTheme="majorHAnsi" w:cstheme="majorHAnsi"/>
                <w:color w:val="000000"/>
                <w:sz w:val="18"/>
                <w:szCs w:val="18"/>
                <w:lang w:eastAsia="es-MX"/>
              </w:rPr>
            </w:pPr>
          </w:p>
        </w:tc>
        <w:tc>
          <w:tcPr>
            <w:tcW w:w="1772" w:type="dxa"/>
            <w:vMerge/>
            <w:vAlign w:val="center"/>
            <w:hideMark/>
          </w:tcPr>
          <w:p w14:paraId="6826ACD8" w14:textId="77777777" w:rsidR="001653D8" w:rsidRPr="00D41C2E" w:rsidRDefault="001653D8" w:rsidP="000F1D3F">
            <w:pPr>
              <w:rPr>
                <w:rFonts w:asciiTheme="majorHAnsi" w:eastAsia="Times New Roman" w:hAnsiTheme="majorHAnsi" w:cstheme="majorHAnsi"/>
                <w:color w:val="000000"/>
                <w:sz w:val="18"/>
                <w:szCs w:val="18"/>
                <w:lang w:eastAsia="es-MX"/>
              </w:rPr>
            </w:pPr>
          </w:p>
        </w:tc>
        <w:tc>
          <w:tcPr>
            <w:tcW w:w="3462" w:type="dxa"/>
            <w:shd w:val="clear" w:color="auto" w:fill="auto"/>
            <w:vAlign w:val="center"/>
            <w:hideMark/>
          </w:tcPr>
          <w:p w14:paraId="5DA9CD42"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Ingresar modificación en Ley de Responsabilidad Fiscal.</w:t>
            </w:r>
          </w:p>
        </w:tc>
        <w:tc>
          <w:tcPr>
            <w:tcW w:w="850" w:type="dxa"/>
            <w:shd w:val="clear" w:color="auto" w:fill="auto"/>
            <w:noWrap/>
            <w:vAlign w:val="center"/>
            <w:hideMark/>
          </w:tcPr>
          <w:p w14:paraId="56344C8B"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555FF93C" w14:textId="708614B5"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vAlign w:val="center"/>
          </w:tcPr>
          <w:p w14:paraId="2ED81404" w14:textId="04856F20" w:rsidR="001653D8" w:rsidRPr="00D41C2E" w:rsidRDefault="001653D8" w:rsidP="00F75D56">
            <w:pPr>
              <w:jc w:val="center"/>
              <w:rPr>
                <w:rFonts w:asciiTheme="majorHAnsi" w:eastAsia="Times New Roman" w:hAnsiTheme="majorHAnsi" w:cstheme="majorHAnsi"/>
                <w:color w:val="000000"/>
                <w:sz w:val="18"/>
                <w:szCs w:val="18"/>
                <w:lang w:eastAsia="es-MX"/>
              </w:rPr>
            </w:pPr>
          </w:p>
        </w:tc>
      </w:tr>
      <w:tr w:rsidR="001653D8" w:rsidRPr="00D41C2E" w14:paraId="2A06E73D" w14:textId="3284A4A3" w:rsidTr="007331CF">
        <w:trPr>
          <w:trHeight w:val="1119"/>
        </w:trPr>
        <w:tc>
          <w:tcPr>
            <w:tcW w:w="715" w:type="dxa"/>
            <w:shd w:val="clear" w:color="auto" w:fill="auto"/>
            <w:noWrap/>
            <w:vAlign w:val="center"/>
            <w:hideMark/>
          </w:tcPr>
          <w:p w14:paraId="77FED843"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lastRenderedPageBreak/>
              <w:t>7</w:t>
            </w:r>
          </w:p>
        </w:tc>
        <w:tc>
          <w:tcPr>
            <w:tcW w:w="1772" w:type="dxa"/>
            <w:shd w:val="clear" w:color="auto" w:fill="auto"/>
            <w:noWrap/>
            <w:vAlign w:val="center"/>
            <w:hideMark/>
          </w:tcPr>
          <w:p w14:paraId="5FD71F55"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Estudiar el proceso y la magnitud sobre la tercerización</w:t>
            </w:r>
          </w:p>
        </w:tc>
        <w:tc>
          <w:tcPr>
            <w:tcW w:w="3462" w:type="dxa"/>
            <w:shd w:val="clear" w:color="auto" w:fill="auto"/>
            <w:vAlign w:val="center"/>
            <w:hideMark/>
          </w:tcPr>
          <w:p w14:paraId="778CDF72"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Estudio al Consejo de Modernización del Estado, para plantear una estrategia adecuada a la tercerización de los servicios que realiza el Estado.</w:t>
            </w:r>
          </w:p>
        </w:tc>
        <w:tc>
          <w:tcPr>
            <w:tcW w:w="850" w:type="dxa"/>
            <w:shd w:val="clear" w:color="auto" w:fill="auto"/>
            <w:noWrap/>
            <w:vAlign w:val="center"/>
            <w:hideMark/>
          </w:tcPr>
          <w:p w14:paraId="72650F3F"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5AC913E7" w14:textId="75AE53D9"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25ACCA1F" w14:textId="402E6174"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1653D8" w:rsidRPr="00D41C2E" w14:paraId="730B1B37" w14:textId="70D2D6FC" w:rsidTr="007331CF">
        <w:trPr>
          <w:trHeight w:val="2537"/>
        </w:trPr>
        <w:tc>
          <w:tcPr>
            <w:tcW w:w="715" w:type="dxa"/>
            <w:shd w:val="clear" w:color="auto" w:fill="auto"/>
            <w:noWrap/>
            <w:vAlign w:val="center"/>
            <w:hideMark/>
          </w:tcPr>
          <w:p w14:paraId="65E1D2AB"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8</w:t>
            </w:r>
          </w:p>
        </w:tc>
        <w:tc>
          <w:tcPr>
            <w:tcW w:w="1772" w:type="dxa"/>
            <w:shd w:val="clear" w:color="auto" w:fill="auto"/>
            <w:noWrap/>
            <w:vAlign w:val="center"/>
            <w:hideMark/>
          </w:tcPr>
          <w:p w14:paraId="16423A76"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Establecer Objetivos País y vincularlos con el presupuesto</w:t>
            </w:r>
          </w:p>
        </w:tc>
        <w:tc>
          <w:tcPr>
            <w:tcW w:w="3462" w:type="dxa"/>
            <w:shd w:val="clear" w:color="auto" w:fill="auto"/>
            <w:vAlign w:val="center"/>
            <w:hideMark/>
          </w:tcPr>
          <w:p w14:paraId="1B47D3BD"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La Dirección de Presupuestos avanzará en un desarrollo metodológico para complementar la información del presupuesto con una clasificación que permita una vinculación más directa del gasto público con los objetivos, considerando los estándares internacionales</w:t>
            </w:r>
            <w:r w:rsidRPr="00D41C2E">
              <w:rPr>
                <w:rFonts w:asciiTheme="majorHAnsi" w:eastAsia="Times New Roman" w:hAnsiTheme="majorHAnsi" w:cstheme="majorHAnsi"/>
                <w:color w:val="000000"/>
                <w:sz w:val="18"/>
                <w:szCs w:val="18"/>
                <w:lang w:eastAsia="es-MX"/>
              </w:rPr>
              <w:br/>
              <w:t>Para esto, se realizará un Estudio de Asistencia Técnica con la OCDE en la cual se revisará la actual estructura presupuestaria y se entregarán recomendaciones de cómo mejorarla basado en las mejores prácticas en los países OCDE.</w:t>
            </w:r>
          </w:p>
        </w:tc>
        <w:tc>
          <w:tcPr>
            <w:tcW w:w="850" w:type="dxa"/>
            <w:shd w:val="clear" w:color="auto" w:fill="auto"/>
            <w:noWrap/>
            <w:vAlign w:val="center"/>
            <w:hideMark/>
          </w:tcPr>
          <w:p w14:paraId="2D92C7E3"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700CFDBB" w14:textId="73056635"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638E6593" w14:textId="47C1CF8F"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1653D8" w:rsidRPr="00D41C2E" w14:paraId="4116A543" w14:textId="68DBA51F" w:rsidTr="007331CF">
        <w:trPr>
          <w:trHeight w:val="2319"/>
        </w:trPr>
        <w:tc>
          <w:tcPr>
            <w:tcW w:w="715" w:type="dxa"/>
            <w:shd w:val="clear" w:color="auto" w:fill="auto"/>
            <w:noWrap/>
            <w:vAlign w:val="center"/>
            <w:hideMark/>
          </w:tcPr>
          <w:p w14:paraId="0C1FFF53"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9</w:t>
            </w:r>
          </w:p>
        </w:tc>
        <w:tc>
          <w:tcPr>
            <w:tcW w:w="1772" w:type="dxa"/>
            <w:shd w:val="clear" w:color="auto" w:fill="auto"/>
            <w:noWrap/>
            <w:vAlign w:val="center"/>
            <w:hideMark/>
          </w:tcPr>
          <w:p w14:paraId="14E91402"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Actualizar el clasificador presupuestario</w:t>
            </w:r>
          </w:p>
        </w:tc>
        <w:tc>
          <w:tcPr>
            <w:tcW w:w="3462" w:type="dxa"/>
            <w:shd w:val="clear" w:color="auto" w:fill="auto"/>
            <w:vAlign w:val="center"/>
            <w:hideMark/>
          </w:tcPr>
          <w:p w14:paraId="46F157CE" w14:textId="77777777" w:rsidR="001653D8" w:rsidRPr="00D41C2E" w:rsidRDefault="001653D8"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Se encargará a la Dirección de Presupuestos estudiar actualizaciones al Clasificador Presupuestario para avanzar en mejoras que permitan un marco presupuestario que considere mayor desglose y detalle en la clasificación, para favorecer una mejor comprensión de cómo se asignan y utilizan los recursos públicos, tomando como hoja de ruta las recomendaciones del informe.</w:t>
            </w:r>
          </w:p>
        </w:tc>
        <w:tc>
          <w:tcPr>
            <w:tcW w:w="850" w:type="dxa"/>
            <w:shd w:val="clear" w:color="auto" w:fill="auto"/>
            <w:noWrap/>
            <w:vAlign w:val="center"/>
            <w:hideMark/>
          </w:tcPr>
          <w:p w14:paraId="33C253D3" w14:textId="77777777" w:rsidR="001653D8" w:rsidRPr="00D41C2E" w:rsidRDefault="001653D8"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61FBB8EE" w14:textId="687E27B4"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4D5A859B" w14:textId="50548973"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1653D8" w:rsidRPr="00D41C2E" w14:paraId="2CBA27D2" w14:textId="24C46201" w:rsidTr="007331CF">
        <w:trPr>
          <w:trHeight w:val="1246"/>
        </w:trPr>
        <w:tc>
          <w:tcPr>
            <w:tcW w:w="715" w:type="dxa"/>
            <w:shd w:val="clear" w:color="auto" w:fill="auto"/>
            <w:noWrap/>
            <w:vAlign w:val="center"/>
            <w:hideMark/>
          </w:tcPr>
          <w:p w14:paraId="1CCECC7D"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10</w:t>
            </w:r>
          </w:p>
        </w:tc>
        <w:tc>
          <w:tcPr>
            <w:tcW w:w="1772" w:type="dxa"/>
            <w:shd w:val="clear" w:color="auto" w:fill="auto"/>
            <w:noWrap/>
            <w:vAlign w:val="center"/>
            <w:hideMark/>
          </w:tcPr>
          <w:p w14:paraId="2306E8AD"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Clarificar el objeto de gasto en las transferencias corrientes y de capital</w:t>
            </w:r>
          </w:p>
        </w:tc>
        <w:tc>
          <w:tcPr>
            <w:tcW w:w="3462" w:type="dxa"/>
            <w:shd w:val="clear" w:color="auto" w:fill="auto"/>
            <w:vAlign w:val="center"/>
            <w:hideMark/>
          </w:tcPr>
          <w:p w14:paraId="68D44472"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La DIPRES en el marco de sus facultades, se encargará de hacer una revisión integral del Clasificador Presupuestario, que incluya contenido, desglose y objeto, a fin de incorporar mayor precisión y mejoras en el Clasificador.</w:t>
            </w:r>
          </w:p>
        </w:tc>
        <w:tc>
          <w:tcPr>
            <w:tcW w:w="850" w:type="dxa"/>
            <w:shd w:val="clear" w:color="auto" w:fill="auto"/>
            <w:noWrap/>
            <w:vAlign w:val="center"/>
            <w:hideMark/>
          </w:tcPr>
          <w:p w14:paraId="3252C772"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3CCEA784" w14:textId="40317034"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1CF079E9" w14:textId="43AA41FF"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1653D8" w:rsidRPr="00D41C2E" w14:paraId="6C41B005" w14:textId="5081A64D" w:rsidTr="007331CF">
        <w:trPr>
          <w:trHeight w:val="269"/>
        </w:trPr>
        <w:tc>
          <w:tcPr>
            <w:tcW w:w="715" w:type="dxa"/>
            <w:vMerge w:val="restart"/>
            <w:shd w:val="clear" w:color="auto" w:fill="auto"/>
            <w:noWrap/>
            <w:vAlign w:val="center"/>
            <w:hideMark/>
          </w:tcPr>
          <w:p w14:paraId="7C968119"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11</w:t>
            </w:r>
          </w:p>
        </w:tc>
        <w:tc>
          <w:tcPr>
            <w:tcW w:w="1772" w:type="dxa"/>
            <w:vMerge w:val="restart"/>
            <w:shd w:val="clear" w:color="auto" w:fill="auto"/>
            <w:noWrap/>
            <w:vAlign w:val="center"/>
            <w:hideMark/>
          </w:tcPr>
          <w:p w14:paraId="17911511" w14:textId="77777777" w:rsidR="001653D8" w:rsidRPr="00D41C2E" w:rsidRDefault="001653D8" w:rsidP="007331C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Fortalecer la evaluación y monitoreo del gasto capital</w:t>
            </w:r>
          </w:p>
        </w:tc>
        <w:tc>
          <w:tcPr>
            <w:tcW w:w="3462" w:type="dxa"/>
            <w:shd w:val="clear" w:color="auto" w:fill="auto"/>
            <w:vAlign w:val="center"/>
            <w:hideMark/>
          </w:tcPr>
          <w:p w14:paraId="7DBBBE15"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t>. Mediante Oficio se encargará a DIPRES el análisis de las medidas de evaluación y monitoreo, y de evaluación de inversión pública contenidas en las NIPS, con miras a fortalecer el control del gasto de transferencias de capital, para lo cual contará con la colaboración del MDSF.</w:t>
            </w:r>
          </w:p>
        </w:tc>
        <w:tc>
          <w:tcPr>
            <w:tcW w:w="850" w:type="dxa"/>
            <w:shd w:val="clear" w:color="auto" w:fill="auto"/>
            <w:vAlign w:val="center"/>
            <w:hideMark/>
          </w:tcPr>
          <w:p w14:paraId="267832CD"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35C8814F" w14:textId="1C4DA8A3"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67%</w:t>
            </w:r>
          </w:p>
        </w:tc>
        <w:tc>
          <w:tcPr>
            <w:tcW w:w="1225" w:type="dxa"/>
            <w:vMerge w:val="restart"/>
            <w:vAlign w:val="center"/>
          </w:tcPr>
          <w:p w14:paraId="18D5BCD4" w14:textId="2A6AB7AC"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33%</w:t>
            </w:r>
          </w:p>
        </w:tc>
      </w:tr>
      <w:tr w:rsidR="001653D8" w:rsidRPr="00D41C2E" w14:paraId="66668894" w14:textId="5AB9D739" w:rsidTr="007331CF">
        <w:trPr>
          <w:trHeight w:val="508"/>
        </w:trPr>
        <w:tc>
          <w:tcPr>
            <w:tcW w:w="715" w:type="dxa"/>
            <w:vMerge/>
            <w:vAlign w:val="center"/>
            <w:hideMark/>
          </w:tcPr>
          <w:p w14:paraId="2F0AAFF2" w14:textId="77777777" w:rsidR="001653D8" w:rsidRPr="00D41C2E" w:rsidRDefault="001653D8" w:rsidP="001653D8">
            <w:pPr>
              <w:rPr>
                <w:rFonts w:asciiTheme="majorHAnsi" w:eastAsia="Times New Roman" w:hAnsiTheme="majorHAnsi" w:cstheme="majorHAnsi"/>
                <w:color w:val="000000"/>
                <w:sz w:val="18"/>
                <w:szCs w:val="18"/>
                <w:lang w:eastAsia="es-MX"/>
              </w:rPr>
            </w:pPr>
          </w:p>
        </w:tc>
        <w:tc>
          <w:tcPr>
            <w:tcW w:w="1772" w:type="dxa"/>
            <w:vMerge/>
            <w:vAlign w:val="center"/>
            <w:hideMark/>
          </w:tcPr>
          <w:p w14:paraId="27A107E9" w14:textId="77777777" w:rsidR="001653D8" w:rsidRPr="00D41C2E" w:rsidRDefault="001653D8" w:rsidP="001653D8">
            <w:pPr>
              <w:rPr>
                <w:rFonts w:asciiTheme="majorHAnsi" w:eastAsia="Times New Roman" w:hAnsiTheme="majorHAnsi" w:cstheme="majorHAnsi"/>
                <w:color w:val="000000"/>
                <w:sz w:val="18"/>
                <w:szCs w:val="18"/>
                <w:lang w:eastAsia="es-MX"/>
              </w:rPr>
            </w:pPr>
          </w:p>
        </w:tc>
        <w:tc>
          <w:tcPr>
            <w:tcW w:w="3462" w:type="dxa"/>
            <w:shd w:val="clear" w:color="auto" w:fill="auto"/>
            <w:vAlign w:val="center"/>
            <w:hideMark/>
          </w:tcPr>
          <w:p w14:paraId="495F2E69"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t xml:space="preserve"> Creación de una Agencia de Evaluación y Monitoreo.</w:t>
            </w:r>
          </w:p>
        </w:tc>
        <w:tc>
          <w:tcPr>
            <w:tcW w:w="850" w:type="dxa"/>
            <w:shd w:val="clear" w:color="auto" w:fill="auto"/>
            <w:vAlign w:val="center"/>
            <w:hideMark/>
          </w:tcPr>
          <w:p w14:paraId="638452BA"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Mediano</w:t>
            </w:r>
          </w:p>
        </w:tc>
        <w:tc>
          <w:tcPr>
            <w:tcW w:w="804" w:type="dxa"/>
            <w:vAlign w:val="center"/>
          </w:tcPr>
          <w:p w14:paraId="1B403733" w14:textId="64C8CD67"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vAlign w:val="center"/>
          </w:tcPr>
          <w:p w14:paraId="2682871E" w14:textId="77777777" w:rsidR="001653D8" w:rsidRPr="00D41C2E" w:rsidRDefault="001653D8" w:rsidP="00F75D56">
            <w:pPr>
              <w:jc w:val="center"/>
              <w:rPr>
                <w:rFonts w:asciiTheme="majorHAnsi" w:eastAsia="Times New Roman" w:hAnsiTheme="majorHAnsi" w:cstheme="majorHAnsi"/>
                <w:color w:val="000000"/>
                <w:sz w:val="18"/>
                <w:szCs w:val="18"/>
                <w:lang w:eastAsia="es-MX"/>
              </w:rPr>
            </w:pPr>
          </w:p>
        </w:tc>
      </w:tr>
      <w:tr w:rsidR="001653D8" w:rsidRPr="00D41C2E" w14:paraId="239FF7B7" w14:textId="78864277" w:rsidTr="007331CF">
        <w:trPr>
          <w:trHeight w:val="827"/>
        </w:trPr>
        <w:tc>
          <w:tcPr>
            <w:tcW w:w="715" w:type="dxa"/>
            <w:shd w:val="clear" w:color="auto" w:fill="auto"/>
            <w:noWrap/>
            <w:vAlign w:val="center"/>
            <w:hideMark/>
          </w:tcPr>
          <w:p w14:paraId="06927BE6"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12</w:t>
            </w:r>
          </w:p>
        </w:tc>
        <w:tc>
          <w:tcPr>
            <w:tcW w:w="1772" w:type="dxa"/>
            <w:shd w:val="clear" w:color="auto" w:fill="auto"/>
            <w:vAlign w:val="center"/>
            <w:hideMark/>
          </w:tcPr>
          <w:p w14:paraId="0BF472A5"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Estudio de mercado por la FNE sobre barreras de entrada en la colaboración de privados con el Estado</w:t>
            </w:r>
          </w:p>
        </w:tc>
        <w:tc>
          <w:tcPr>
            <w:tcW w:w="3462" w:type="dxa"/>
            <w:shd w:val="clear" w:color="auto" w:fill="auto"/>
            <w:vAlign w:val="center"/>
            <w:hideMark/>
          </w:tcPr>
          <w:p w14:paraId="70B2C1C1"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 xml:space="preserve">Medida administrativa. </w:t>
            </w:r>
            <w:r w:rsidRPr="00D41C2E">
              <w:rPr>
                <w:rFonts w:asciiTheme="majorHAnsi" w:eastAsia="Times New Roman" w:hAnsiTheme="majorHAnsi" w:cstheme="majorHAnsi"/>
                <w:color w:val="000000"/>
                <w:sz w:val="18"/>
                <w:szCs w:val="18"/>
                <w:lang w:eastAsia="es-MX"/>
              </w:rPr>
              <w:t>Enviar un oficio al Fiscal Nacional Económico para que tome conocimiento de la recomendación y tome las acciones pertinentes bajo sus competencias.</w:t>
            </w:r>
          </w:p>
        </w:tc>
        <w:tc>
          <w:tcPr>
            <w:tcW w:w="850" w:type="dxa"/>
            <w:shd w:val="clear" w:color="auto" w:fill="auto"/>
            <w:vAlign w:val="center"/>
            <w:hideMark/>
          </w:tcPr>
          <w:p w14:paraId="14BFF829"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4EDD2FA5" w14:textId="4796A9D8"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67%</w:t>
            </w:r>
          </w:p>
        </w:tc>
        <w:tc>
          <w:tcPr>
            <w:tcW w:w="1225" w:type="dxa"/>
            <w:vAlign w:val="center"/>
          </w:tcPr>
          <w:p w14:paraId="51B0D4C0" w14:textId="171B8701"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67%</w:t>
            </w:r>
          </w:p>
        </w:tc>
      </w:tr>
      <w:tr w:rsidR="001653D8" w:rsidRPr="00D41C2E" w14:paraId="43BC68AA" w14:textId="07DEBDD1" w:rsidTr="007331CF">
        <w:trPr>
          <w:trHeight w:val="1149"/>
        </w:trPr>
        <w:tc>
          <w:tcPr>
            <w:tcW w:w="715" w:type="dxa"/>
            <w:shd w:val="clear" w:color="auto" w:fill="auto"/>
            <w:noWrap/>
            <w:vAlign w:val="center"/>
            <w:hideMark/>
          </w:tcPr>
          <w:p w14:paraId="4AEEF182"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lastRenderedPageBreak/>
              <w:t>13</w:t>
            </w:r>
          </w:p>
        </w:tc>
        <w:tc>
          <w:tcPr>
            <w:tcW w:w="1772" w:type="dxa"/>
            <w:shd w:val="clear" w:color="auto" w:fill="auto"/>
            <w:vAlign w:val="center"/>
            <w:hideMark/>
          </w:tcPr>
          <w:p w14:paraId="519AD953"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Guía de FNE sobre competencia en la colaboración de privados con el Estado</w:t>
            </w:r>
          </w:p>
        </w:tc>
        <w:tc>
          <w:tcPr>
            <w:tcW w:w="3462" w:type="dxa"/>
            <w:shd w:val="clear" w:color="auto" w:fill="auto"/>
            <w:vAlign w:val="center"/>
            <w:hideMark/>
          </w:tcPr>
          <w:p w14:paraId="03AADDCA"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 xml:space="preserve">Medida administrativa. </w:t>
            </w:r>
            <w:r w:rsidRPr="00D41C2E">
              <w:rPr>
                <w:rFonts w:asciiTheme="majorHAnsi" w:eastAsia="Times New Roman" w:hAnsiTheme="majorHAnsi" w:cstheme="majorHAnsi"/>
                <w:color w:val="000000"/>
                <w:sz w:val="18"/>
                <w:szCs w:val="18"/>
                <w:lang w:eastAsia="es-MX"/>
              </w:rPr>
              <w:t>Enviaremos un oficio al Fiscal Nacional Económico para que tome conocimiento de la recomendación y tome las acciones pertinentes bajo sus competencias.</w:t>
            </w:r>
          </w:p>
        </w:tc>
        <w:tc>
          <w:tcPr>
            <w:tcW w:w="850" w:type="dxa"/>
            <w:shd w:val="clear" w:color="auto" w:fill="auto"/>
            <w:vAlign w:val="center"/>
            <w:hideMark/>
          </w:tcPr>
          <w:p w14:paraId="4D0B40A9"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552DEABF" w14:textId="0F69575B" w:rsidR="001653D8" w:rsidRPr="00D41C2E" w:rsidRDefault="001653D8"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67%</w:t>
            </w:r>
          </w:p>
        </w:tc>
        <w:tc>
          <w:tcPr>
            <w:tcW w:w="1225" w:type="dxa"/>
            <w:vAlign w:val="center"/>
          </w:tcPr>
          <w:p w14:paraId="0724BC44" w14:textId="5748E9E4" w:rsidR="001653D8" w:rsidRPr="00F75D56" w:rsidRDefault="001653D8"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67%</w:t>
            </w:r>
          </w:p>
        </w:tc>
      </w:tr>
      <w:tr w:rsidR="001653D8" w:rsidRPr="00D41C2E" w14:paraId="655E7304" w14:textId="27573F2B" w:rsidTr="007331CF">
        <w:trPr>
          <w:trHeight w:val="1010"/>
        </w:trPr>
        <w:tc>
          <w:tcPr>
            <w:tcW w:w="715" w:type="dxa"/>
            <w:shd w:val="clear" w:color="auto" w:fill="auto"/>
            <w:noWrap/>
            <w:vAlign w:val="center"/>
            <w:hideMark/>
          </w:tcPr>
          <w:p w14:paraId="2E08105C"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14</w:t>
            </w:r>
          </w:p>
        </w:tc>
        <w:tc>
          <w:tcPr>
            <w:tcW w:w="1772" w:type="dxa"/>
            <w:shd w:val="clear" w:color="auto" w:fill="auto"/>
            <w:vAlign w:val="center"/>
            <w:hideMark/>
          </w:tcPr>
          <w:p w14:paraId="6D772167" w14:textId="2E3C978D"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Mejorar la calidad de la información de los balances de las IPSFL y prevenir</w:t>
            </w:r>
            <w:r w:rsidR="00490B92">
              <w:rPr>
                <w:rFonts w:asciiTheme="majorHAnsi" w:eastAsia="Times New Roman" w:hAnsiTheme="majorHAnsi" w:cstheme="majorHAnsi"/>
                <w:color w:val="000000"/>
                <w:sz w:val="18"/>
                <w:szCs w:val="18"/>
                <w:lang w:eastAsia="es-MX"/>
              </w:rPr>
              <w:t xml:space="preserve"> </w:t>
            </w:r>
            <w:r w:rsidRPr="00D41C2E">
              <w:rPr>
                <w:rFonts w:asciiTheme="majorHAnsi" w:eastAsia="Times New Roman" w:hAnsiTheme="majorHAnsi" w:cstheme="majorHAnsi"/>
                <w:color w:val="000000"/>
                <w:sz w:val="18"/>
                <w:szCs w:val="18"/>
                <w:lang w:eastAsia="es-MX"/>
              </w:rPr>
              <w:t>elusión/evasión</w:t>
            </w:r>
          </w:p>
        </w:tc>
        <w:tc>
          <w:tcPr>
            <w:tcW w:w="3462" w:type="dxa"/>
            <w:shd w:val="clear" w:color="auto" w:fill="auto"/>
            <w:vAlign w:val="center"/>
            <w:hideMark/>
          </w:tcPr>
          <w:p w14:paraId="2D6F3443"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Se dictará instrucción.</w:t>
            </w:r>
          </w:p>
        </w:tc>
        <w:tc>
          <w:tcPr>
            <w:tcW w:w="850" w:type="dxa"/>
            <w:shd w:val="clear" w:color="auto" w:fill="auto"/>
            <w:noWrap/>
            <w:vAlign w:val="center"/>
            <w:hideMark/>
          </w:tcPr>
          <w:p w14:paraId="1E34A9AF"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01FEA2CD" w14:textId="08C54904" w:rsidR="001653D8"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100%</w:t>
            </w:r>
          </w:p>
        </w:tc>
        <w:tc>
          <w:tcPr>
            <w:tcW w:w="1225" w:type="dxa"/>
            <w:vAlign w:val="center"/>
          </w:tcPr>
          <w:p w14:paraId="591F0C84" w14:textId="143D251B" w:rsidR="001653D8"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100%</w:t>
            </w:r>
          </w:p>
        </w:tc>
      </w:tr>
      <w:tr w:rsidR="001653D8" w:rsidRPr="00D41C2E" w14:paraId="6B10F901" w14:textId="17301120" w:rsidTr="007331CF">
        <w:trPr>
          <w:trHeight w:val="1563"/>
        </w:trPr>
        <w:tc>
          <w:tcPr>
            <w:tcW w:w="715" w:type="dxa"/>
            <w:shd w:val="clear" w:color="auto" w:fill="auto"/>
            <w:noWrap/>
            <w:vAlign w:val="center"/>
            <w:hideMark/>
          </w:tcPr>
          <w:p w14:paraId="736F557D"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15</w:t>
            </w:r>
          </w:p>
        </w:tc>
        <w:tc>
          <w:tcPr>
            <w:tcW w:w="1772" w:type="dxa"/>
            <w:shd w:val="clear" w:color="auto" w:fill="auto"/>
            <w:noWrap/>
            <w:vAlign w:val="center"/>
            <w:hideMark/>
          </w:tcPr>
          <w:p w14:paraId="68FFD725"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Aumentar la utilidad de la información presupuestaria para usuarios y usuarias</w:t>
            </w:r>
          </w:p>
        </w:tc>
        <w:tc>
          <w:tcPr>
            <w:tcW w:w="3462" w:type="dxa"/>
            <w:shd w:val="clear" w:color="auto" w:fill="auto"/>
            <w:vAlign w:val="center"/>
            <w:hideMark/>
          </w:tcPr>
          <w:p w14:paraId="69CEDFC3"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Trabajaremos en revisar la plataforma de información presupuestaria correspondiente al Portal de Presupuesto Abierto, para identificar oportunidades de mejora que puedan contribuir a una mayor disponibilidad de información en relación con las transferencias realizadas por el Estado</w:t>
            </w:r>
          </w:p>
        </w:tc>
        <w:tc>
          <w:tcPr>
            <w:tcW w:w="850" w:type="dxa"/>
            <w:shd w:val="clear" w:color="auto" w:fill="auto"/>
            <w:vAlign w:val="center"/>
            <w:hideMark/>
          </w:tcPr>
          <w:p w14:paraId="406B2FAE"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Mediano</w:t>
            </w:r>
          </w:p>
        </w:tc>
        <w:tc>
          <w:tcPr>
            <w:tcW w:w="804" w:type="dxa"/>
            <w:vAlign w:val="center"/>
          </w:tcPr>
          <w:p w14:paraId="5857AD57" w14:textId="5AEFD37D" w:rsidR="001653D8"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2A0DC50E" w14:textId="082E7003" w:rsidR="001653D8"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1653D8" w:rsidRPr="00D41C2E" w14:paraId="6D17B2B3" w14:textId="6D4D680D" w:rsidTr="007331CF">
        <w:trPr>
          <w:trHeight w:val="1062"/>
        </w:trPr>
        <w:tc>
          <w:tcPr>
            <w:tcW w:w="715" w:type="dxa"/>
            <w:shd w:val="clear" w:color="auto" w:fill="auto"/>
            <w:noWrap/>
            <w:vAlign w:val="center"/>
            <w:hideMark/>
          </w:tcPr>
          <w:p w14:paraId="052D908E"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16</w:t>
            </w:r>
          </w:p>
        </w:tc>
        <w:tc>
          <w:tcPr>
            <w:tcW w:w="1772" w:type="dxa"/>
            <w:shd w:val="clear" w:color="auto" w:fill="auto"/>
            <w:noWrap/>
            <w:vAlign w:val="center"/>
            <w:hideMark/>
          </w:tcPr>
          <w:p w14:paraId="263DF0CC" w14:textId="77777777" w:rsidR="001653D8" w:rsidRPr="00D41C2E" w:rsidRDefault="001653D8" w:rsidP="001653D8">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Estimación del monto de transferencias  del Estado a IPSFL</w:t>
            </w:r>
          </w:p>
        </w:tc>
        <w:tc>
          <w:tcPr>
            <w:tcW w:w="3462" w:type="dxa"/>
            <w:shd w:val="clear" w:color="auto" w:fill="auto"/>
            <w:vAlign w:val="center"/>
            <w:hideMark/>
          </w:tcPr>
          <w:p w14:paraId="386BFBD6" w14:textId="77777777" w:rsidR="001653D8" w:rsidRPr="00D41C2E" w:rsidRDefault="001653D8" w:rsidP="001653D8">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Encargaremos a DIPRES que realice un análisis de la información presupuestaria a fin de identificar los mecanismos que ayuden a determinar con mayor claridad las transferencias del Estado a IPFSL.</w:t>
            </w:r>
          </w:p>
        </w:tc>
        <w:tc>
          <w:tcPr>
            <w:tcW w:w="850" w:type="dxa"/>
            <w:shd w:val="clear" w:color="auto" w:fill="auto"/>
            <w:vAlign w:val="center"/>
            <w:hideMark/>
          </w:tcPr>
          <w:p w14:paraId="21A90B00" w14:textId="77777777" w:rsidR="001653D8" w:rsidRPr="00D41C2E" w:rsidRDefault="001653D8" w:rsidP="001653D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Mediano</w:t>
            </w:r>
          </w:p>
        </w:tc>
        <w:tc>
          <w:tcPr>
            <w:tcW w:w="804" w:type="dxa"/>
            <w:vAlign w:val="center"/>
          </w:tcPr>
          <w:p w14:paraId="7542F908" w14:textId="2729508F" w:rsidR="001653D8"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4D9D9CE1" w14:textId="788BD2F7" w:rsidR="001653D8"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bl>
    <w:p w14:paraId="1BA91061" w14:textId="77777777" w:rsidR="002F7611" w:rsidRDefault="002F7611"/>
    <w:p w14:paraId="6C9ADE48" w14:textId="5F61518D" w:rsidR="000F1D3F" w:rsidRDefault="000F1D3F">
      <w:pPr>
        <w:rPr>
          <w:rFonts w:cstheme="minorHAnsi"/>
          <w:b/>
          <w:bCs/>
          <w:color w:val="67ABDF"/>
          <w:lang w:val="es-ES_tradnl"/>
        </w:rPr>
      </w:pPr>
      <w:r w:rsidRPr="000F1D3F">
        <w:rPr>
          <w:rFonts w:cstheme="minorHAnsi"/>
          <w:b/>
          <w:bCs/>
          <w:color w:val="67ABDF"/>
          <w:lang w:val="es-ES_tradnl"/>
        </w:rPr>
        <w:t>TRANSPARENCIA EN ORGANISMOS DEL ESTADO Y REGISTROS RELEVANTES SOBRE INSTITUCIONES PRIVADAS SIN FINES DE LUCRO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8B4B40" w:rsidRPr="008B4B40" w14:paraId="47B04544" w14:textId="77777777" w:rsidTr="008B4B40">
        <w:tc>
          <w:tcPr>
            <w:tcW w:w="2405" w:type="dxa"/>
          </w:tcPr>
          <w:p w14:paraId="5CE139A5" w14:textId="5CBC261B" w:rsidR="008B4B40" w:rsidRPr="00490B92" w:rsidRDefault="008B4B40">
            <w:pPr>
              <w:rPr>
                <w:rFonts w:asciiTheme="majorHAnsi" w:hAnsiTheme="majorHAnsi" w:cstheme="majorHAnsi"/>
                <w:color w:val="000000" w:themeColor="text1"/>
                <w:lang w:val="es-ES_tradnl"/>
              </w:rPr>
            </w:pPr>
            <w:r w:rsidRPr="00490B92">
              <w:rPr>
                <w:rFonts w:asciiTheme="majorHAnsi" w:hAnsiTheme="majorHAnsi" w:cstheme="majorHAnsi"/>
                <w:noProof/>
                <w:color w:val="000000" w:themeColor="text1"/>
              </w:rPr>
              <w:drawing>
                <wp:inline distT="0" distB="0" distL="0" distR="0" wp14:anchorId="390ED358" wp14:editId="08CEA246">
                  <wp:extent cx="1167619" cy="1055627"/>
                  <wp:effectExtent l="0" t="0" r="0" b="0"/>
                  <wp:docPr id="16606446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44623" name=""/>
                          <pic:cNvPicPr/>
                        </pic:nvPicPr>
                        <pic:blipFill rotWithShape="1">
                          <a:blip r:embed="rId8"/>
                          <a:srcRect l="15808" t="16654" r="18567"/>
                          <a:stretch/>
                        </pic:blipFill>
                        <pic:spPr bwMode="auto">
                          <a:xfrm>
                            <a:off x="0" y="0"/>
                            <a:ext cx="1189150" cy="1075092"/>
                          </a:xfrm>
                          <a:prstGeom prst="rect">
                            <a:avLst/>
                          </a:prstGeom>
                          <a:ln>
                            <a:noFill/>
                          </a:ln>
                          <a:extLst>
                            <a:ext uri="{53640926-AAD7-44D8-BBD7-CCE9431645EC}">
                              <a14:shadowObscured xmlns:a14="http://schemas.microsoft.com/office/drawing/2010/main"/>
                            </a:ext>
                          </a:extLst>
                        </pic:spPr>
                      </pic:pic>
                    </a:graphicData>
                  </a:graphic>
                </wp:inline>
              </w:drawing>
            </w:r>
          </w:p>
        </w:tc>
        <w:tc>
          <w:tcPr>
            <w:tcW w:w="6423" w:type="dxa"/>
          </w:tcPr>
          <w:p w14:paraId="77D108C4" w14:textId="77777777" w:rsidR="00334BA8" w:rsidRDefault="00334BA8" w:rsidP="00490B92">
            <w:pPr>
              <w:rPr>
                <w:rFonts w:asciiTheme="majorHAnsi" w:hAnsiTheme="majorHAnsi" w:cstheme="majorHAnsi"/>
                <w:color w:val="000000" w:themeColor="text1"/>
                <w:lang w:val="es-ES_tradnl"/>
              </w:rPr>
            </w:pPr>
          </w:p>
          <w:p w14:paraId="0A382727" w14:textId="77777777" w:rsidR="008B4B40" w:rsidRDefault="00334BA8" w:rsidP="00490B92">
            <w:pPr>
              <w:rPr>
                <w:rFonts w:asciiTheme="majorHAnsi" w:hAnsiTheme="majorHAnsi" w:cstheme="majorHAnsi"/>
                <w:color w:val="000000" w:themeColor="text1"/>
                <w:lang w:val="es-ES_tradnl"/>
              </w:rPr>
            </w:pPr>
            <w:r>
              <w:rPr>
                <w:rFonts w:asciiTheme="majorHAnsi" w:hAnsiTheme="majorHAnsi" w:cstheme="majorHAnsi"/>
                <w:color w:val="000000" w:themeColor="text1"/>
                <w:lang w:val="es-ES_tradnl"/>
              </w:rPr>
              <w:t xml:space="preserve">Se requiere avanzar en modernizar los registros existentes y que éstos sean interoperables. </w:t>
            </w:r>
          </w:p>
          <w:p w14:paraId="476D5059" w14:textId="07437120" w:rsidR="00334BA8" w:rsidRPr="00490B92" w:rsidRDefault="00334BA8" w:rsidP="00490B92">
            <w:pPr>
              <w:rPr>
                <w:rFonts w:asciiTheme="majorHAnsi" w:hAnsiTheme="majorHAnsi" w:cstheme="majorHAnsi"/>
                <w:color w:val="000000" w:themeColor="text1"/>
                <w:lang w:val="es-ES_tradnl"/>
              </w:rPr>
            </w:pPr>
            <w:r>
              <w:rPr>
                <w:rFonts w:asciiTheme="majorHAnsi" w:hAnsiTheme="majorHAnsi" w:cstheme="majorHAnsi"/>
                <w:color w:val="000000" w:themeColor="text1"/>
                <w:lang w:val="es-ES_tradnl"/>
              </w:rPr>
              <w:t>Urge ingresar el proyecto de ley de Beneficiarios finales o reales de estructuras jurídicas.</w:t>
            </w:r>
          </w:p>
        </w:tc>
      </w:tr>
    </w:tbl>
    <w:p w14:paraId="4CB2B038" w14:textId="53F508AD" w:rsidR="000F1D3F" w:rsidRPr="000F1D3F" w:rsidRDefault="000F1D3F">
      <w:pPr>
        <w:rPr>
          <w:rFonts w:cstheme="minorHAnsi"/>
          <w:b/>
          <w:bCs/>
          <w:color w:val="67ABDF"/>
          <w:lang w:val="es-ES_tradnl"/>
        </w:rPr>
      </w:pPr>
    </w:p>
    <w:tbl>
      <w:tblPr>
        <w:tblW w:w="8828" w:type="dxa"/>
        <w:tblBorders>
          <w:top w:val="single" w:sz="4" w:space="0" w:color="67ABDF"/>
          <w:left w:val="single" w:sz="4" w:space="0" w:color="67ABDF"/>
          <w:bottom w:val="single" w:sz="4" w:space="0" w:color="67ABDF"/>
          <w:right w:val="single" w:sz="4" w:space="0" w:color="67ABDF"/>
          <w:insideH w:val="single" w:sz="4" w:space="0" w:color="67ABDF"/>
          <w:insideV w:val="single" w:sz="4" w:space="0" w:color="67ABDF"/>
        </w:tblBorders>
        <w:tblCellMar>
          <w:left w:w="70" w:type="dxa"/>
          <w:right w:w="70" w:type="dxa"/>
        </w:tblCellMar>
        <w:tblLook w:val="04A0" w:firstRow="1" w:lastRow="0" w:firstColumn="1" w:lastColumn="0" w:noHBand="0" w:noVBand="1"/>
      </w:tblPr>
      <w:tblGrid>
        <w:gridCol w:w="716"/>
        <w:gridCol w:w="1772"/>
        <w:gridCol w:w="3603"/>
        <w:gridCol w:w="817"/>
        <w:gridCol w:w="695"/>
        <w:gridCol w:w="1225"/>
      </w:tblGrid>
      <w:tr w:rsidR="00F75D56" w:rsidRPr="00D41C2E" w14:paraId="04AE0BD8" w14:textId="04815DF3" w:rsidTr="007331CF">
        <w:trPr>
          <w:trHeight w:val="268"/>
        </w:trPr>
        <w:tc>
          <w:tcPr>
            <w:tcW w:w="716" w:type="dxa"/>
            <w:shd w:val="clear" w:color="auto" w:fill="67ABDF"/>
            <w:noWrap/>
            <w:vAlign w:val="center"/>
          </w:tcPr>
          <w:p w14:paraId="0D0B241A" w14:textId="013429F6" w:rsidR="00F75D56" w:rsidRPr="00D41C2E" w:rsidRDefault="00F75D56" w:rsidP="00B72218">
            <w:pPr>
              <w:jc w:val="center"/>
              <w:rPr>
                <w:rFonts w:asciiTheme="majorHAnsi" w:eastAsia="Times New Roman" w:hAnsiTheme="majorHAnsi" w:cstheme="majorHAnsi"/>
                <w:color w:val="000000"/>
                <w:sz w:val="18"/>
                <w:szCs w:val="18"/>
                <w:lang w:eastAsia="es-MX"/>
              </w:rPr>
            </w:pPr>
            <w:proofErr w:type="spellStart"/>
            <w:r w:rsidRPr="00D41C2E">
              <w:rPr>
                <w:rFonts w:asciiTheme="majorHAnsi" w:eastAsia="Times New Roman" w:hAnsiTheme="majorHAnsi" w:cstheme="majorHAnsi"/>
                <w:b/>
                <w:bCs/>
                <w:color w:val="FFFFFF"/>
                <w:sz w:val="16"/>
                <w:szCs w:val="16"/>
                <w:lang w:eastAsia="es-MX"/>
              </w:rPr>
              <w:t>N°</w:t>
            </w:r>
            <w:proofErr w:type="spellEnd"/>
            <w:r w:rsidRPr="00D41C2E">
              <w:rPr>
                <w:rFonts w:asciiTheme="majorHAnsi" w:eastAsia="Times New Roman" w:hAnsiTheme="majorHAnsi" w:cstheme="majorHAnsi"/>
                <w:b/>
                <w:bCs/>
                <w:color w:val="FFFFFF"/>
                <w:sz w:val="16"/>
                <w:szCs w:val="16"/>
                <w:lang w:eastAsia="es-MX"/>
              </w:rPr>
              <w:t xml:space="preserve"> </w:t>
            </w:r>
          </w:p>
        </w:tc>
        <w:tc>
          <w:tcPr>
            <w:tcW w:w="1772" w:type="dxa"/>
            <w:shd w:val="clear" w:color="auto" w:fill="67ABDF"/>
            <w:noWrap/>
            <w:vAlign w:val="center"/>
          </w:tcPr>
          <w:p w14:paraId="7F74A101" w14:textId="493A71F2" w:rsidR="00F75D56" w:rsidRPr="00D41C2E" w:rsidRDefault="00F75D56" w:rsidP="00B72218">
            <w:pP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MEDIDA</w:t>
            </w:r>
          </w:p>
        </w:tc>
        <w:tc>
          <w:tcPr>
            <w:tcW w:w="3603" w:type="dxa"/>
            <w:shd w:val="clear" w:color="auto" w:fill="67ABDF"/>
            <w:vAlign w:val="center"/>
          </w:tcPr>
          <w:p w14:paraId="38519FF8" w14:textId="623237DD" w:rsidR="00F75D56" w:rsidRPr="00D41C2E" w:rsidRDefault="00F75D56" w:rsidP="00B72218">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FFFFFF"/>
                <w:sz w:val="16"/>
                <w:szCs w:val="16"/>
                <w:lang w:eastAsia="es-MX"/>
              </w:rPr>
              <w:t>ACCIÓN</w:t>
            </w:r>
          </w:p>
        </w:tc>
        <w:tc>
          <w:tcPr>
            <w:tcW w:w="817" w:type="dxa"/>
            <w:shd w:val="clear" w:color="auto" w:fill="67ABDF"/>
            <w:vAlign w:val="center"/>
          </w:tcPr>
          <w:p w14:paraId="2E72C9A2" w14:textId="3B96149E" w:rsidR="00F75D56" w:rsidRPr="00D41C2E" w:rsidRDefault="00F75D56" w:rsidP="00B72218">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FFFFFF"/>
                <w:sz w:val="16"/>
                <w:szCs w:val="16"/>
                <w:lang w:eastAsia="es-MX"/>
              </w:rPr>
              <w:t>PLAZO </w:t>
            </w:r>
          </w:p>
        </w:tc>
        <w:tc>
          <w:tcPr>
            <w:tcW w:w="695" w:type="dxa"/>
            <w:shd w:val="clear" w:color="auto" w:fill="67ABDF"/>
          </w:tcPr>
          <w:p w14:paraId="033AD975" w14:textId="61CBD110" w:rsidR="00F75D56" w:rsidRPr="00D41C2E" w:rsidRDefault="00F75D56" w:rsidP="00B72218">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AVANCE</w:t>
            </w:r>
          </w:p>
        </w:tc>
        <w:tc>
          <w:tcPr>
            <w:tcW w:w="1225" w:type="dxa"/>
            <w:shd w:val="clear" w:color="auto" w:fill="67ABDF"/>
          </w:tcPr>
          <w:p w14:paraId="71FDDDE9" w14:textId="39852307" w:rsidR="00F75D56" w:rsidRDefault="00F75D56" w:rsidP="00B72218">
            <w:pPr>
              <w:jc w:val="center"/>
              <w:rPr>
                <w:rFonts w:asciiTheme="majorHAnsi" w:eastAsia="Times New Roman" w:hAnsiTheme="majorHAnsi" w:cstheme="majorHAnsi"/>
                <w:b/>
                <w:bCs/>
                <w:color w:val="FFFFFF"/>
                <w:sz w:val="16"/>
                <w:szCs w:val="16"/>
                <w:lang w:eastAsia="es-MX"/>
              </w:rPr>
            </w:pPr>
            <w:r>
              <w:rPr>
                <w:rFonts w:asciiTheme="majorHAnsi" w:eastAsia="Times New Roman" w:hAnsiTheme="majorHAnsi" w:cstheme="majorHAnsi"/>
                <w:b/>
                <w:bCs/>
                <w:color w:val="FFFFFF"/>
                <w:sz w:val="16"/>
                <w:szCs w:val="16"/>
                <w:lang w:eastAsia="es-MX"/>
              </w:rPr>
              <w:t>CUMPLIMIENTO</w:t>
            </w:r>
          </w:p>
        </w:tc>
      </w:tr>
      <w:tr w:rsidR="00F75D56" w:rsidRPr="00D41C2E" w14:paraId="0D8AC118" w14:textId="33371B0C" w:rsidTr="007331CF">
        <w:trPr>
          <w:trHeight w:val="683"/>
        </w:trPr>
        <w:tc>
          <w:tcPr>
            <w:tcW w:w="716" w:type="dxa"/>
            <w:shd w:val="clear" w:color="auto" w:fill="auto"/>
            <w:noWrap/>
            <w:vAlign w:val="center"/>
            <w:hideMark/>
          </w:tcPr>
          <w:p w14:paraId="412F639B"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17</w:t>
            </w:r>
          </w:p>
        </w:tc>
        <w:tc>
          <w:tcPr>
            <w:tcW w:w="1772" w:type="dxa"/>
            <w:shd w:val="clear" w:color="auto" w:fill="auto"/>
            <w:noWrap/>
            <w:vAlign w:val="center"/>
            <w:hideMark/>
          </w:tcPr>
          <w:p w14:paraId="5788D876"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 xml:space="preserve">Identificación única de las IPSFL </w:t>
            </w:r>
          </w:p>
        </w:tc>
        <w:tc>
          <w:tcPr>
            <w:tcW w:w="3603" w:type="dxa"/>
            <w:shd w:val="clear" w:color="auto" w:fill="auto"/>
            <w:vAlign w:val="center"/>
            <w:hideMark/>
          </w:tcPr>
          <w:p w14:paraId="68C8E0DF"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Analizar la viabilidad de un convenio para ejecutar la medida.</w:t>
            </w:r>
          </w:p>
        </w:tc>
        <w:tc>
          <w:tcPr>
            <w:tcW w:w="817" w:type="dxa"/>
            <w:shd w:val="clear" w:color="auto" w:fill="auto"/>
            <w:vAlign w:val="center"/>
            <w:hideMark/>
          </w:tcPr>
          <w:p w14:paraId="7D67ADFD"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695" w:type="dxa"/>
            <w:vAlign w:val="center"/>
          </w:tcPr>
          <w:p w14:paraId="56AC4416" w14:textId="79CA9F63"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6415684F" w14:textId="6D519964" w:rsidR="00F75D56"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F75D56" w:rsidRPr="00D41C2E" w14:paraId="14AD3511" w14:textId="244F8D72" w:rsidTr="00405C2E">
        <w:trPr>
          <w:trHeight w:val="725"/>
        </w:trPr>
        <w:tc>
          <w:tcPr>
            <w:tcW w:w="716" w:type="dxa"/>
            <w:shd w:val="clear" w:color="auto" w:fill="auto"/>
            <w:noWrap/>
            <w:vAlign w:val="center"/>
            <w:hideMark/>
          </w:tcPr>
          <w:p w14:paraId="1F1E64B3"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18</w:t>
            </w:r>
          </w:p>
        </w:tc>
        <w:tc>
          <w:tcPr>
            <w:tcW w:w="1772" w:type="dxa"/>
            <w:shd w:val="clear" w:color="auto" w:fill="auto"/>
            <w:noWrap/>
            <w:vAlign w:val="center"/>
            <w:hideMark/>
          </w:tcPr>
          <w:p w14:paraId="562C3DB1"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Portal único de personas jurídicas sin fines de lucro</w:t>
            </w:r>
          </w:p>
        </w:tc>
        <w:tc>
          <w:tcPr>
            <w:tcW w:w="3603" w:type="dxa"/>
            <w:shd w:val="clear" w:color="auto" w:fill="auto"/>
            <w:vAlign w:val="center"/>
            <w:hideMark/>
          </w:tcPr>
          <w:p w14:paraId="260BB440"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analizará un proyecto de ley que cree un sistema registral único.</w:t>
            </w:r>
          </w:p>
        </w:tc>
        <w:tc>
          <w:tcPr>
            <w:tcW w:w="817" w:type="dxa"/>
            <w:shd w:val="clear" w:color="auto" w:fill="auto"/>
            <w:vAlign w:val="center"/>
            <w:hideMark/>
          </w:tcPr>
          <w:p w14:paraId="2A0ECBCD"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695" w:type="dxa"/>
            <w:vAlign w:val="center"/>
          </w:tcPr>
          <w:p w14:paraId="4F02CCC4" w14:textId="77C0558D"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1AF213BA" w14:textId="289F03DA" w:rsidR="00F75D56"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F75D56" w:rsidRPr="00D41C2E" w14:paraId="7629E0F5" w14:textId="53EB7AB8" w:rsidTr="007331CF">
        <w:trPr>
          <w:trHeight w:val="90"/>
        </w:trPr>
        <w:tc>
          <w:tcPr>
            <w:tcW w:w="716" w:type="dxa"/>
            <w:shd w:val="clear" w:color="auto" w:fill="auto"/>
            <w:noWrap/>
            <w:vAlign w:val="center"/>
            <w:hideMark/>
          </w:tcPr>
          <w:p w14:paraId="53D98C7D"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19</w:t>
            </w:r>
          </w:p>
        </w:tc>
        <w:tc>
          <w:tcPr>
            <w:tcW w:w="1772" w:type="dxa"/>
            <w:shd w:val="clear" w:color="auto" w:fill="auto"/>
            <w:vAlign w:val="center"/>
            <w:hideMark/>
          </w:tcPr>
          <w:p w14:paraId="0EA435B9"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Portal de información sobre transferencia de recursos públicos al sector sin fines de lucro</w:t>
            </w:r>
          </w:p>
        </w:tc>
        <w:tc>
          <w:tcPr>
            <w:tcW w:w="3603" w:type="dxa"/>
            <w:shd w:val="clear" w:color="auto" w:fill="auto"/>
            <w:vAlign w:val="center"/>
            <w:hideMark/>
          </w:tcPr>
          <w:p w14:paraId="3F4E7457"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analizará una reforma a los registros de la Ley N°19.862.</w:t>
            </w:r>
          </w:p>
        </w:tc>
        <w:tc>
          <w:tcPr>
            <w:tcW w:w="817" w:type="dxa"/>
            <w:shd w:val="clear" w:color="auto" w:fill="auto"/>
            <w:vAlign w:val="center"/>
            <w:hideMark/>
          </w:tcPr>
          <w:p w14:paraId="3FD1FED4"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695" w:type="dxa"/>
            <w:vAlign w:val="center"/>
          </w:tcPr>
          <w:p w14:paraId="0C615065" w14:textId="167E17E7"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0BCFCEDF" w14:textId="7E67B8D4" w:rsidR="00F75D56"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F75D56" w:rsidRPr="00D41C2E" w14:paraId="3A506872" w14:textId="3E3FF550" w:rsidTr="007331CF">
        <w:trPr>
          <w:trHeight w:val="1764"/>
        </w:trPr>
        <w:tc>
          <w:tcPr>
            <w:tcW w:w="716" w:type="dxa"/>
            <w:vMerge w:val="restart"/>
            <w:shd w:val="clear" w:color="auto" w:fill="auto"/>
            <w:noWrap/>
            <w:vAlign w:val="center"/>
            <w:hideMark/>
          </w:tcPr>
          <w:p w14:paraId="3FA7FDF5"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lastRenderedPageBreak/>
              <w:t>20</w:t>
            </w:r>
          </w:p>
        </w:tc>
        <w:tc>
          <w:tcPr>
            <w:tcW w:w="1772" w:type="dxa"/>
            <w:vMerge w:val="restart"/>
            <w:shd w:val="clear" w:color="auto" w:fill="auto"/>
            <w:vAlign w:val="center"/>
            <w:hideMark/>
          </w:tcPr>
          <w:p w14:paraId="18CA8156" w14:textId="77777777" w:rsidR="00F75D56" w:rsidRPr="00D41C2E" w:rsidRDefault="00F75D56" w:rsidP="007331C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Ampliar la cobertura del Sistema de Rendición Electrónica de Cuentas (SISREC)</w:t>
            </w:r>
          </w:p>
        </w:tc>
        <w:tc>
          <w:tcPr>
            <w:tcW w:w="3603" w:type="dxa"/>
            <w:shd w:val="clear" w:color="auto" w:fill="auto"/>
            <w:vAlign w:val="center"/>
            <w:hideMark/>
          </w:tcPr>
          <w:p w14:paraId="794A109D"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El Oficio Circular N°20, de 11.08.2023, del Ministerio de Hacienda, estableció que para transferencias corrientes y de capital, los convenios celebrados por la administración con instituciones sin fines de lucro deberán contemplar que las rendiciones de cuentas se efectúen a través del Sistema de Rendición de Cuentas (SISREC), a cargo de la Contraloría General de la República (CGR), o mediante sistemas homólogos que cuenten con autorización de CGR.</w:t>
            </w:r>
          </w:p>
        </w:tc>
        <w:tc>
          <w:tcPr>
            <w:tcW w:w="817" w:type="dxa"/>
            <w:shd w:val="clear" w:color="auto" w:fill="auto"/>
            <w:vAlign w:val="center"/>
            <w:hideMark/>
          </w:tcPr>
          <w:p w14:paraId="296C499A"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695" w:type="dxa"/>
            <w:vAlign w:val="center"/>
          </w:tcPr>
          <w:p w14:paraId="571289CA" w14:textId="6B0FDFE4"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100%</w:t>
            </w:r>
          </w:p>
        </w:tc>
        <w:tc>
          <w:tcPr>
            <w:tcW w:w="1225" w:type="dxa"/>
            <w:vMerge w:val="restart"/>
            <w:vAlign w:val="center"/>
          </w:tcPr>
          <w:p w14:paraId="36B2CFA9" w14:textId="3680294E" w:rsidR="00F75D56"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100%</w:t>
            </w:r>
          </w:p>
        </w:tc>
      </w:tr>
      <w:tr w:rsidR="00F75D56" w:rsidRPr="00D41C2E" w14:paraId="15026795" w14:textId="04D558D2" w:rsidTr="007331CF">
        <w:trPr>
          <w:trHeight w:val="419"/>
        </w:trPr>
        <w:tc>
          <w:tcPr>
            <w:tcW w:w="716" w:type="dxa"/>
            <w:vMerge/>
            <w:vAlign w:val="center"/>
            <w:hideMark/>
          </w:tcPr>
          <w:p w14:paraId="39C3AC8A" w14:textId="77777777" w:rsidR="00F75D56" w:rsidRPr="00D41C2E" w:rsidRDefault="00F75D56" w:rsidP="00F75D56">
            <w:pPr>
              <w:rPr>
                <w:rFonts w:asciiTheme="majorHAnsi" w:eastAsia="Times New Roman" w:hAnsiTheme="majorHAnsi" w:cstheme="majorHAnsi"/>
                <w:color w:val="000000"/>
                <w:sz w:val="18"/>
                <w:szCs w:val="18"/>
                <w:lang w:eastAsia="es-MX"/>
              </w:rPr>
            </w:pPr>
          </w:p>
        </w:tc>
        <w:tc>
          <w:tcPr>
            <w:tcW w:w="1772" w:type="dxa"/>
            <w:vMerge/>
            <w:vAlign w:val="center"/>
            <w:hideMark/>
          </w:tcPr>
          <w:p w14:paraId="13F4458C" w14:textId="77777777" w:rsidR="00F75D56" w:rsidRPr="00D41C2E" w:rsidRDefault="00F75D56" w:rsidP="00F75D56">
            <w:pPr>
              <w:rPr>
                <w:rFonts w:asciiTheme="majorHAnsi" w:eastAsia="Times New Roman" w:hAnsiTheme="majorHAnsi" w:cstheme="majorHAnsi"/>
                <w:color w:val="000000"/>
                <w:sz w:val="18"/>
                <w:szCs w:val="18"/>
                <w:lang w:eastAsia="es-MX"/>
              </w:rPr>
            </w:pPr>
          </w:p>
        </w:tc>
        <w:tc>
          <w:tcPr>
            <w:tcW w:w="3603" w:type="dxa"/>
            <w:shd w:val="clear" w:color="auto" w:fill="auto"/>
            <w:vAlign w:val="center"/>
            <w:hideMark/>
          </w:tcPr>
          <w:p w14:paraId="749FC3FF"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recogerá en la ley de presupuestos 2024</w:t>
            </w:r>
          </w:p>
        </w:tc>
        <w:tc>
          <w:tcPr>
            <w:tcW w:w="817" w:type="dxa"/>
            <w:shd w:val="clear" w:color="auto" w:fill="auto"/>
            <w:vAlign w:val="center"/>
            <w:hideMark/>
          </w:tcPr>
          <w:p w14:paraId="302EF890"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695" w:type="dxa"/>
            <w:vAlign w:val="center"/>
          </w:tcPr>
          <w:p w14:paraId="28677E34" w14:textId="7C68030B"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100%</w:t>
            </w:r>
          </w:p>
        </w:tc>
        <w:tc>
          <w:tcPr>
            <w:tcW w:w="1225" w:type="dxa"/>
            <w:vMerge/>
            <w:vAlign w:val="center"/>
          </w:tcPr>
          <w:p w14:paraId="07BD1C47" w14:textId="77777777" w:rsidR="00F75D56" w:rsidRPr="00F75D56" w:rsidRDefault="00F75D56" w:rsidP="00F75D56">
            <w:pPr>
              <w:jc w:val="center"/>
              <w:rPr>
                <w:rFonts w:asciiTheme="majorHAnsi" w:eastAsia="Times New Roman" w:hAnsiTheme="majorHAnsi" w:cstheme="majorHAnsi"/>
                <w:b/>
                <w:bCs/>
                <w:color w:val="000000"/>
                <w:sz w:val="18"/>
                <w:szCs w:val="18"/>
                <w:lang w:eastAsia="es-MX"/>
              </w:rPr>
            </w:pPr>
          </w:p>
        </w:tc>
      </w:tr>
      <w:tr w:rsidR="00F75D56" w:rsidRPr="00D41C2E" w14:paraId="0C0F9EFB" w14:textId="7CF274CE" w:rsidTr="007331CF">
        <w:trPr>
          <w:trHeight w:val="553"/>
        </w:trPr>
        <w:tc>
          <w:tcPr>
            <w:tcW w:w="716" w:type="dxa"/>
            <w:vMerge/>
            <w:vAlign w:val="center"/>
            <w:hideMark/>
          </w:tcPr>
          <w:p w14:paraId="184C8C9C" w14:textId="77777777" w:rsidR="00F75D56" w:rsidRPr="00D41C2E" w:rsidRDefault="00F75D56" w:rsidP="00F75D56">
            <w:pPr>
              <w:rPr>
                <w:rFonts w:asciiTheme="majorHAnsi" w:eastAsia="Times New Roman" w:hAnsiTheme="majorHAnsi" w:cstheme="majorHAnsi"/>
                <w:color w:val="000000"/>
                <w:sz w:val="18"/>
                <w:szCs w:val="18"/>
                <w:lang w:eastAsia="es-MX"/>
              </w:rPr>
            </w:pPr>
          </w:p>
        </w:tc>
        <w:tc>
          <w:tcPr>
            <w:tcW w:w="1772" w:type="dxa"/>
            <w:vMerge/>
            <w:vAlign w:val="center"/>
            <w:hideMark/>
          </w:tcPr>
          <w:p w14:paraId="5C8D7FA2" w14:textId="77777777" w:rsidR="00F75D56" w:rsidRPr="00D41C2E" w:rsidRDefault="00F75D56" w:rsidP="00F75D56">
            <w:pPr>
              <w:rPr>
                <w:rFonts w:asciiTheme="majorHAnsi" w:eastAsia="Times New Roman" w:hAnsiTheme="majorHAnsi" w:cstheme="majorHAnsi"/>
                <w:color w:val="000000"/>
                <w:sz w:val="18"/>
                <w:szCs w:val="18"/>
                <w:lang w:eastAsia="es-MX"/>
              </w:rPr>
            </w:pPr>
          </w:p>
        </w:tc>
        <w:tc>
          <w:tcPr>
            <w:tcW w:w="3603" w:type="dxa"/>
            <w:shd w:val="clear" w:color="auto" w:fill="auto"/>
            <w:vAlign w:val="center"/>
            <w:hideMark/>
          </w:tcPr>
          <w:p w14:paraId="5DBE2948" w14:textId="3B79788C"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 xml:space="preserve">Propuesta N°20 - Ampliar la cobertura del Sistema de Rendición Electrónica de </w:t>
            </w:r>
            <w:r>
              <w:rPr>
                <w:rFonts w:asciiTheme="majorHAnsi" w:eastAsia="Times New Roman" w:hAnsiTheme="majorHAnsi" w:cstheme="majorHAnsi"/>
                <w:color w:val="000000"/>
                <w:sz w:val="18"/>
                <w:szCs w:val="18"/>
                <w:lang w:eastAsia="es-MX"/>
              </w:rPr>
              <w:t xml:space="preserve"> </w:t>
            </w:r>
            <w:r w:rsidRPr="00D41C2E">
              <w:rPr>
                <w:rFonts w:asciiTheme="majorHAnsi" w:eastAsia="Times New Roman" w:hAnsiTheme="majorHAnsi" w:cstheme="majorHAnsi"/>
                <w:color w:val="000000"/>
                <w:sz w:val="18"/>
                <w:szCs w:val="18"/>
                <w:lang w:eastAsia="es-MX"/>
              </w:rPr>
              <w:t>Cuentas (SISREC)</w:t>
            </w:r>
          </w:p>
        </w:tc>
        <w:tc>
          <w:tcPr>
            <w:tcW w:w="817" w:type="dxa"/>
            <w:shd w:val="clear" w:color="auto" w:fill="auto"/>
            <w:vAlign w:val="center"/>
            <w:hideMark/>
          </w:tcPr>
          <w:p w14:paraId="63429309"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695" w:type="dxa"/>
            <w:vAlign w:val="center"/>
          </w:tcPr>
          <w:p w14:paraId="214EC764" w14:textId="3D49B1F6"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100%</w:t>
            </w:r>
          </w:p>
        </w:tc>
        <w:tc>
          <w:tcPr>
            <w:tcW w:w="1225" w:type="dxa"/>
            <w:vMerge/>
            <w:vAlign w:val="center"/>
          </w:tcPr>
          <w:p w14:paraId="7C77F8B2" w14:textId="77777777" w:rsidR="00F75D56" w:rsidRPr="00F75D56" w:rsidRDefault="00F75D56" w:rsidP="00F75D56">
            <w:pPr>
              <w:jc w:val="center"/>
              <w:rPr>
                <w:rFonts w:asciiTheme="majorHAnsi" w:eastAsia="Times New Roman" w:hAnsiTheme="majorHAnsi" w:cstheme="majorHAnsi"/>
                <w:b/>
                <w:bCs/>
                <w:color w:val="000000"/>
                <w:sz w:val="18"/>
                <w:szCs w:val="18"/>
                <w:lang w:eastAsia="es-MX"/>
              </w:rPr>
            </w:pPr>
          </w:p>
        </w:tc>
      </w:tr>
      <w:tr w:rsidR="00F75D56" w:rsidRPr="00D41C2E" w14:paraId="40C15DB4" w14:textId="218CBA3B" w:rsidTr="007331CF">
        <w:trPr>
          <w:trHeight w:val="680"/>
        </w:trPr>
        <w:tc>
          <w:tcPr>
            <w:tcW w:w="716" w:type="dxa"/>
            <w:shd w:val="clear" w:color="auto" w:fill="auto"/>
            <w:noWrap/>
            <w:vAlign w:val="center"/>
            <w:hideMark/>
          </w:tcPr>
          <w:p w14:paraId="4E52CD70"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21</w:t>
            </w:r>
          </w:p>
        </w:tc>
        <w:tc>
          <w:tcPr>
            <w:tcW w:w="1772" w:type="dxa"/>
            <w:shd w:val="clear" w:color="auto" w:fill="auto"/>
            <w:vAlign w:val="center"/>
            <w:hideMark/>
          </w:tcPr>
          <w:p w14:paraId="6E557B53"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Crear un Registro Nacional de Beneficiarios Finales de Personas Jurídicas en Chile</w:t>
            </w:r>
          </w:p>
        </w:tc>
        <w:tc>
          <w:tcPr>
            <w:tcW w:w="3603" w:type="dxa"/>
            <w:shd w:val="clear" w:color="auto" w:fill="auto"/>
            <w:vAlign w:val="center"/>
            <w:hideMark/>
          </w:tcPr>
          <w:p w14:paraId="39F92DD9"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b/>
                <w:bCs/>
                <w:color w:val="000000"/>
                <w:sz w:val="18"/>
                <w:szCs w:val="18"/>
                <w:lang w:eastAsia="es-MX"/>
              </w:rPr>
              <w:br/>
            </w:r>
            <w:r w:rsidRPr="00D41C2E">
              <w:rPr>
                <w:rFonts w:asciiTheme="majorHAnsi" w:eastAsia="Times New Roman" w:hAnsiTheme="majorHAnsi" w:cstheme="majorHAnsi"/>
                <w:color w:val="000000"/>
                <w:sz w:val="18"/>
                <w:szCs w:val="18"/>
                <w:lang w:eastAsia="es-MX"/>
              </w:rPr>
              <w:t>Proyecto de ley del Registro de Beneficiarios Finales.</w:t>
            </w:r>
          </w:p>
        </w:tc>
        <w:tc>
          <w:tcPr>
            <w:tcW w:w="817" w:type="dxa"/>
            <w:shd w:val="clear" w:color="auto" w:fill="auto"/>
            <w:vAlign w:val="center"/>
            <w:hideMark/>
          </w:tcPr>
          <w:p w14:paraId="27609F05"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695" w:type="dxa"/>
            <w:vAlign w:val="center"/>
          </w:tcPr>
          <w:p w14:paraId="59108179" w14:textId="02B7D78E"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2ED11CC3" w14:textId="39E63FB6" w:rsidR="00F75D56"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F75D56" w:rsidRPr="00D41C2E" w14:paraId="2C40141D" w14:textId="27492894" w:rsidTr="007331CF">
        <w:trPr>
          <w:trHeight w:val="1119"/>
        </w:trPr>
        <w:tc>
          <w:tcPr>
            <w:tcW w:w="716" w:type="dxa"/>
            <w:shd w:val="clear" w:color="auto" w:fill="auto"/>
            <w:noWrap/>
            <w:vAlign w:val="center"/>
            <w:hideMark/>
          </w:tcPr>
          <w:p w14:paraId="5534A8E4"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22</w:t>
            </w:r>
          </w:p>
        </w:tc>
        <w:tc>
          <w:tcPr>
            <w:tcW w:w="1772" w:type="dxa"/>
            <w:shd w:val="clear" w:color="auto" w:fill="auto"/>
            <w:noWrap/>
            <w:vAlign w:val="center"/>
            <w:hideMark/>
          </w:tcPr>
          <w:p w14:paraId="16FBADB9"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Estadísticas mínimas sobre la evolución de las IPSFL</w:t>
            </w:r>
          </w:p>
        </w:tc>
        <w:tc>
          <w:tcPr>
            <w:tcW w:w="3603" w:type="dxa"/>
            <w:shd w:val="clear" w:color="auto" w:fill="auto"/>
            <w:vAlign w:val="center"/>
            <w:hideMark/>
          </w:tcPr>
          <w:p w14:paraId="6831C539"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Solicitaremos al SII (Servicio de Impuestos Internos) avanzar en el análisis de la información financiera relativa a las organizaciones sin fines de lucro, para incluirlas así en los informes anuales.</w:t>
            </w:r>
          </w:p>
        </w:tc>
        <w:tc>
          <w:tcPr>
            <w:tcW w:w="817" w:type="dxa"/>
            <w:shd w:val="clear" w:color="auto" w:fill="auto"/>
            <w:vAlign w:val="center"/>
            <w:hideMark/>
          </w:tcPr>
          <w:p w14:paraId="586816D0"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695" w:type="dxa"/>
            <w:vAlign w:val="center"/>
          </w:tcPr>
          <w:p w14:paraId="6B9E933E" w14:textId="59E79313"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3CA67109" w14:textId="5126F984" w:rsidR="00F75D56"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r w:rsidR="00F75D56" w:rsidRPr="00D41C2E" w14:paraId="54B12FE9" w14:textId="584B33BF" w:rsidTr="007331CF">
        <w:trPr>
          <w:trHeight w:val="1020"/>
        </w:trPr>
        <w:tc>
          <w:tcPr>
            <w:tcW w:w="716" w:type="dxa"/>
            <w:shd w:val="clear" w:color="auto" w:fill="auto"/>
            <w:noWrap/>
            <w:vAlign w:val="center"/>
            <w:hideMark/>
          </w:tcPr>
          <w:p w14:paraId="31505B40"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23</w:t>
            </w:r>
          </w:p>
        </w:tc>
        <w:tc>
          <w:tcPr>
            <w:tcW w:w="1772" w:type="dxa"/>
            <w:shd w:val="clear" w:color="auto" w:fill="auto"/>
            <w:vAlign w:val="center"/>
            <w:hideMark/>
          </w:tcPr>
          <w:p w14:paraId="3774A1D4"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Homologar el proceso de Compras Públicas con el proceso de adjudicación vía transferencias corrientes y de capital</w:t>
            </w:r>
          </w:p>
        </w:tc>
        <w:tc>
          <w:tcPr>
            <w:tcW w:w="3603" w:type="dxa"/>
            <w:shd w:val="clear" w:color="auto" w:fill="auto"/>
            <w:vAlign w:val="center"/>
            <w:hideMark/>
          </w:tcPr>
          <w:p w14:paraId="5F37E75E"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analizará la creación de un soporte electrónico para autorizar transferencias en virtud de concursos públicos.</w:t>
            </w:r>
          </w:p>
        </w:tc>
        <w:tc>
          <w:tcPr>
            <w:tcW w:w="817" w:type="dxa"/>
            <w:shd w:val="clear" w:color="auto" w:fill="auto"/>
            <w:vAlign w:val="center"/>
            <w:hideMark/>
          </w:tcPr>
          <w:p w14:paraId="7EB3D9A3"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695" w:type="dxa"/>
            <w:vAlign w:val="center"/>
          </w:tcPr>
          <w:p w14:paraId="7FB0850A" w14:textId="3336018D"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580CF92E" w14:textId="5F3F12F8" w:rsidR="00F75D56" w:rsidRPr="00F75D56" w:rsidRDefault="00F75D56" w:rsidP="00F75D56">
            <w:pPr>
              <w:jc w:val="center"/>
              <w:rPr>
                <w:rFonts w:asciiTheme="majorHAnsi" w:eastAsia="Times New Roman" w:hAnsiTheme="majorHAnsi" w:cstheme="majorHAnsi"/>
                <w:b/>
                <w:bCs/>
                <w:color w:val="000000"/>
                <w:sz w:val="18"/>
                <w:szCs w:val="18"/>
                <w:lang w:eastAsia="es-MX"/>
              </w:rPr>
            </w:pPr>
            <w:r w:rsidRPr="00F75D56">
              <w:rPr>
                <w:rFonts w:asciiTheme="majorHAnsi" w:eastAsia="Times New Roman" w:hAnsiTheme="majorHAnsi" w:cstheme="majorHAnsi"/>
                <w:b/>
                <w:bCs/>
                <w:color w:val="000000"/>
                <w:sz w:val="18"/>
                <w:szCs w:val="18"/>
                <w:lang w:eastAsia="es-MX"/>
              </w:rPr>
              <w:t>0%</w:t>
            </w:r>
          </w:p>
        </w:tc>
      </w:tr>
    </w:tbl>
    <w:p w14:paraId="313DBFBB" w14:textId="77777777" w:rsidR="000F1D3F" w:rsidRDefault="000F1D3F"/>
    <w:p w14:paraId="2D630386" w14:textId="77777777" w:rsidR="00405C2E" w:rsidRDefault="00405C2E"/>
    <w:p w14:paraId="2188541F" w14:textId="3299CAA3" w:rsidR="000F1D3F" w:rsidRDefault="002F7611" w:rsidP="000F1D3F">
      <w:pPr>
        <w:rPr>
          <w:rFonts w:cstheme="minorHAnsi"/>
          <w:b/>
          <w:bCs/>
          <w:color w:val="67ABDF"/>
          <w:lang w:val="es-ES_tradnl"/>
        </w:rPr>
      </w:pPr>
      <w:r w:rsidRPr="000F1D3F">
        <w:rPr>
          <w:rFonts w:cstheme="minorHAnsi"/>
          <w:b/>
          <w:bCs/>
          <w:color w:val="67ABDF"/>
          <w:lang w:val="es-ES_tradnl"/>
        </w:rPr>
        <w:t>TRANSPARENCIA ACTIVA IPSFL</w:t>
      </w:r>
    </w:p>
    <w:p w14:paraId="629D6353" w14:textId="77777777" w:rsidR="00490B92" w:rsidRPr="008B4B40" w:rsidRDefault="00490B92" w:rsidP="000F1D3F">
      <w:pPr>
        <w:rPr>
          <w:rFonts w:cstheme="minorHAnsi"/>
          <w:b/>
          <w:bCs/>
          <w:color w:val="67ABDF"/>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8B4B40" w:rsidRPr="008B4B40" w14:paraId="0EB45BAD" w14:textId="77777777" w:rsidTr="008B4B40">
        <w:tc>
          <w:tcPr>
            <w:tcW w:w="2405" w:type="dxa"/>
          </w:tcPr>
          <w:p w14:paraId="1B075EAF" w14:textId="02626E3D" w:rsidR="008B4B40" w:rsidRPr="008B4B40" w:rsidRDefault="008B4B40" w:rsidP="000F1D3F">
            <w:pPr>
              <w:rPr>
                <w:rFonts w:asciiTheme="majorHAnsi" w:hAnsiTheme="majorHAnsi" w:cstheme="majorHAnsi"/>
              </w:rPr>
            </w:pPr>
            <w:r w:rsidRPr="008B4B40">
              <w:rPr>
                <w:rFonts w:asciiTheme="majorHAnsi" w:hAnsiTheme="majorHAnsi" w:cstheme="majorHAnsi"/>
                <w:noProof/>
              </w:rPr>
              <w:drawing>
                <wp:inline distT="0" distB="0" distL="0" distR="0" wp14:anchorId="152BC8FE" wp14:editId="4BCA7FE8">
                  <wp:extent cx="1111005" cy="1024008"/>
                  <wp:effectExtent l="0" t="0" r="0" b="0"/>
                  <wp:docPr id="14088377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837745" name=""/>
                          <pic:cNvPicPr/>
                        </pic:nvPicPr>
                        <pic:blipFill rotWithShape="1">
                          <a:blip r:embed="rId9"/>
                          <a:srcRect l="17424" t="16120" r="20028"/>
                          <a:stretch/>
                        </pic:blipFill>
                        <pic:spPr bwMode="auto">
                          <a:xfrm>
                            <a:off x="0" y="0"/>
                            <a:ext cx="1128668" cy="1040288"/>
                          </a:xfrm>
                          <a:prstGeom prst="rect">
                            <a:avLst/>
                          </a:prstGeom>
                          <a:ln>
                            <a:noFill/>
                          </a:ln>
                          <a:extLst>
                            <a:ext uri="{53640926-AAD7-44D8-BBD7-CCE9431645EC}">
                              <a14:shadowObscured xmlns:a14="http://schemas.microsoft.com/office/drawing/2010/main"/>
                            </a:ext>
                          </a:extLst>
                        </pic:spPr>
                      </pic:pic>
                    </a:graphicData>
                  </a:graphic>
                </wp:inline>
              </w:drawing>
            </w:r>
          </w:p>
        </w:tc>
        <w:tc>
          <w:tcPr>
            <w:tcW w:w="6423" w:type="dxa"/>
          </w:tcPr>
          <w:p w14:paraId="04C82EB4" w14:textId="363919B5" w:rsidR="008B4B40" w:rsidRPr="008B4B40" w:rsidRDefault="00490B92" w:rsidP="00490B92">
            <w:pPr>
              <w:jc w:val="both"/>
              <w:rPr>
                <w:rFonts w:asciiTheme="majorHAnsi" w:hAnsiTheme="majorHAnsi" w:cstheme="majorHAnsi"/>
              </w:rPr>
            </w:pPr>
            <w:r>
              <w:rPr>
                <w:rFonts w:asciiTheme="majorHAnsi" w:hAnsiTheme="majorHAnsi" w:cstheme="majorHAnsi"/>
              </w:rPr>
              <w:t xml:space="preserve">Se observa un avance alentador, pero </w:t>
            </w:r>
            <w:r w:rsidRPr="00CF733C">
              <w:rPr>
                <w:rFonts w:asciiTheme="majorHAnsi" w:hAnsiTheme="majorHAnsi" w:cstheme="majorHAnsi"/>
                <w:b/>
                <w:bCs/>
              </w:rPr>
              <w:t>hay que poner el foco en las instituciones</w:t>
            </w:r>
            <w:r>
              <w:rPr>
                <w:rFonts w:asciiTheme="majorHAnsi" w:hAnsiTheme="majorHAnsi" w:cstheme="majorHAnsi"/>
              </w:rPr>
              <w:t xml:space="preserve"> de pensamiento político, a las que s</w:t>
            </w:r>
            <w:r w:rsidR="00CF733C">
              <w:rPr>
                <w:rFonts w:asciiTheme="majorHAnsi" w:hAnsiTheme="majorHAnsi" w:cstheme="majorHAnsi"/>
              </w:rPr>
              <w:t>ó</w:t>
            </w:r>
            <w:r>
              <w:rPr>
                <w:rFonts w:asciiTheme="majorHAnsi" w:hAnsiTheme="majorHAnsi" w:cstheme="majorHAnsi"/>
              </w:rPr>
              <w:t xml:space="preserve">lo se les sería aplicable reglas de transparencia cuando realicen asesoría parlamentaria. </w:t>
            </w:r>
          </w:p>
        </w:tc>
      </w:tr>
    </w:tbl>
    <w:p w14:paraId="6F77B7A0" w14:textId="77777777" w:rsidR="000F1D3F" w:rsidRDefault="000F1D3F" w:rsidP="000F1D3F"/>
    <w:tbl>
      <w:tblPr>
        <w:tblW w:w="8828" w:type="dxa"/>
        <w:tblBorders>
          <w:top w:val="single" w:sz="4" w:space="0" w:color="67ABDF"/>
          <w:left w:val="single" w:sz="4" w:space="0" w:color="67ABDF"/>
          <w:bottom w:val="single" w:sz="4" w:space="0" w:color="67ABDF"/>
          <w:right w:val="single" w:sz="4" w:space="0" w:color="67ABDF"/>
          <w:insideH w:val="single" w:sz="4" w:space="0" w:color="67ABDF"/>
          <w:insideV w:val="single" w:sz="4" w:space="0" w:color="67ABDF"/>
        </w:tblBorders>
        <w:tblCellMar>
          <w:left w:w="70" w:type="dxa"/>
          <w:right w:w="70" w:type="dxa"/>
        </w:tblCellMar>
        <w:tblLook w:val="04A0" w:firstRow="1" w:lastRow="0" w:firstColumn="1" w:lastColumn="0" w:noHBand="0" w:noVBand="1"/>
      </w:tblPr>
      <w:tblGrid>
        <w:gridCol w:w="716"/>
        <w:gridCol w:w="1772"/>
        <w:gridCol w:w="3404"/>
        <w:gridCol w:w="787"/>
        <w:gridCol w:w="740"/>
        <w:gridCol w:w="1409"/>
      </w:tblGrid>
      <w:tr w:rsidR="00F75D56" w:rsidRPr="00D41C2E" w14:paraId="594BE24F" w14:textId="51D5EA31" w:rsidTr="007331CF">
        <w:trPr>
          <w:trHeight w:val="252"/>
        </w:trPr>
        <w:tc>
          <w:tcPr>
            <w:tcW w:w="716" w:type="dxa"/>
            <w:shd w:val="clear" w:color="auto" w:fill="67ABDF"/>
            <w:noWrap/>
            <w:vAlign w:val="center"/>
          </w:tcPr>
          <w:p w14:paraId="65E5B235" w14:textId="04EFE1B2" w:rsidR="00F75D56" w:rsidRPr="00D41C2E" w:rsidRDefault="00F75D56" w:rsidP="00F75D56">
            <w:pPr>
              <w:rPr>
                <w:rFonts w:asciiTheme="majorHAnsi" w:eastAsia="Times New Roman" w:hAnsiTheme="majorHAnsi" w:cstheme="majorHAnsi"/>
                <w:color w:val="000000"/>
                <w:sz w:val="18"/>
                <w:szCs w:val="18"/>
                <w:lang w:eastAsia="es-MX"/>
              </w:rPr>
            </w:pPr>
            <w:proofErr w:type="spellStart"/>
            <w:r w:rsidRPr="00D41C2E">
              <w:rPr>
                <w:rFonts w:asciiTheme="majorHAnsi" w:eastAsia="Times New Roman" w:hAnsiTheme="majorHAnsi" w:cstheme="majorHAnsi"/>
                <w:b/>
                <w:bCs/>
                <w:color w:val="FFFFFF"/>
                <w:sz w:val="16"/>
                <w:szCs w:val="16"/>
                <w:lang w:eastAsia="es-MX"/>
              </w:rPr>
              <w:t>N°</w:t>
            </w:r>
            <w:proofErr w:type="spellEnd"/>
            <w:r w:rsidRPr="00D41C2E">
              <w:rPr>
                <w:rFonts w:asciiTheme="majorHAnsi" w:eastAsia="Times New Roman" w:hAnsiTheme="majorHAnsi" w:cstheme="majorHAnsi"/>
                <w:b/>
                <w:bCs/>
                <w:color w:val="FFFFFF"/>
                <w:sz w:val="16"/>
                <w:szCs w:val="16"/>
                <w:lang w:eastAsia="es-MX"/>
              </w:rPr>
              <w:t xml:space="preserve"> </w:t>
            </w:r>
          </w:p>
        </w:tc>
        <w:tc>
          <w:tcPr>
            <w:tcW w:w="1772" w:type="dxa"/>
            <w:shd w:val="clear" w:color="auto" w:fill="67ABDF"/>
            <w:noWrap/>
            <w:vAlign w:val="center"/>
          </w:tcPr>
          <w:p w14:paraId="37F28F52" w14:textId="01B20C6F" w:rsidR="00F75D56" w:rsidRPr="00D41C2E" w:rsidRDefault="00F75D56" w:rsidP="00F75D56">
            <w:pP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MEDIDA</w:t>
            </w:r>
          </w:p>
        </w:tc>
        <w:tc>
          <w:tcPr>
            <w:tcW w:w="3603" w:type="dxa"/>
            <w:shd w:val="clear" w:color="auto" w:fill="67ABDF"/>
            <w:vAlign w:val="center"/>
          </w:tcPr>
          <w:p w14:paraId="6F70FE20" w14:textId="2693BC97" w:rsidR="00F75D56" w:rsidRPr="00D41C2E" w:rsidRDefault="00F75D56" w:rsidP="00F75D56">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FFFFFF"/>
                <w:sz w:val="16"/>
                <w:szCs w:val="16"/>
                <w:lang w:eastAsia="es-MX"/>
              </w:rPr>
              <w:t>ACCIÓN</w:t>
            </w:r>
          </w:p>
        </w:tc>
        <w:tc>
          <w:tcPr>
            <w:tcW w:w="567" w:type="dxa"/>
            <w:shd w:val="clear" w:color="auto" w:fill="67ABDF"/>
            <w:vAlign w:val="center"/>
          </w:tcPr>
          <w:p w14:paraId="5CD1FA73" w14:textId="0CB6C48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FFFFFF"/>
                <w:sz w:val="16"/>
                <w:szCs w:val="16"/>
                <w:lang w:eastAsia="es-MX"/>
              </w:rPr>
              <w:t>PLAZO </w:t>
            </w:r>
          </w:p>
        </w:tc>
        <w:tc>
          <w:tcPr>
            <w:tcW w:w="744" w:type="dxa"/>
            <w:shd w:val="clear" w:color="auto" w:fill="67ABDF"/>
            <w:vAlign w:val="center"/>
          </w:tcPr>
          <w:p w14:paraId="7E81EC1C" w14:textId="67751276" w:rsidR="00F75D56" w:rsidRPr="00D41C2E" w:rsidRDefault="00F75D56" w:rsidP="00F75D56">
            <w:pP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AVANCE</w:t>
            </w:r>
          </w:p>
        </w:tc>
        <w:tc>
          <w:tcPr>
            <w:tcW w:w="1426" w:type="dxa"/>
            <w:shd w:val="clear" w:color="auto" w:fill="67ABDF"/>
          </w:tcPr>
          <w:p w14:paraId="16863DFC" w14:textId="6158A1E0" w:rsidR="00F75D56" w:rsidRDefault="00F75D56" w:rsidP="00F75D56">
            <w:pPr>
              <w:rPr>
                <w:rFonts w:asciiTheme="majorHAnsi" w:eastAsia="Times New Roman" w:hAnsiTheme="majorHAnsi" w:cstheme="majorHAnsi"/>
                <w:b/>
                <w:bCs/>
                <w:color w:val="FFFFFF"/>
                <w:sz w:val="16"/>
                <w:szCs w:val="16"/>
                <w:lang w:eastAsia="es-MX"/>
              </w:rPr>
            </w:pPr>
            <w:r w:rsidRPr="00FF08D7">
              <w:rPr>
                <w:rFonts w:asciiTheme="majorHAnsi" w:eastAsia="Times New Roman" w:hAnsiTheme="majorHAnsi" w:cstheme="majorHAnsi"/>
                <w:b/>
                <w:bCs/>
                <w:color w:val="FFFFFF"/>
                <w:sz w:val="16"/>
                <w:szCs w:val="16"/>
                <w:lang w:eastAsia="es-MX"/>
              </w:rPr>
              <w:t>CUMPLIMIENTO</w:t>
            </w:r>
          </w:p>
        </w:tc>
      </w:tr>
      <w:tr w:rsidR="00F75D56" w:rsidRPr="00D41C2E" w14:paraId="6FA61D60" w14:textId="37049A67" w:rsidTr="007331CF">
        <w:trPr>
          <w:trHeight w:val="1134"/>
        </w:trPr>
        <w:tc>
          <w:tcPr>
            <w:tcW w:w="716" w:type="dxa"/>
            <w:shd w:val="clear" w:color="auto" w:fill="auto"/>
            <w:noWrap/>
            <w:vAlign w:val="center"/>
            <w:hideMark/>
          </w:tcPr>
          <w:p w14:paraId="2C87D47D"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lastRenderedPageBreak/>
              <w:t>24</w:t>
            </w:r>
          </w:p>
        </w:tc>
        <w:tc>
          <w:tcPr>
            <w:tcW w:w="1772" w:type="dxa"/>
            <w:shd w:val="clear" w:color="auto" w:fill="auto"/>
            <w:noWrap/>
            <w:vAlign w:val="center"/>
            <w:hideMark/>
          </w:tcPr>
          <w:p w14:paraId="0D16BD9C"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Obligaciones de transparencia activa de IPSFL</w:t>
            </w:r>
          </w:p>
        </w:tc>
        <w:tc>
          <w:tcPr>
            <w:tcW w:w="3603" w:type="dxa"/>
            <w:shd w:val="clear" w:color="auto" w:fill="auto"/>
            <w:vAlign w:val="center"/>
            <w:hideMark/>
          </w:tcPr>
          <w:p w14:paraId="674F580A"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Ingresaremos indicaciones al proyecto de ley denominado "Transparencia 2.0", con el fin de fortalecer los niveles de transparencia, contemplando las diversas realidades de las IPSFL.</w:t>
            </w:r>
          </w:p>
        </w:tc>
        <w:tc>
          <w:tcPr>
            <w:tcW w:w="567" w:type="dxa"/>
            <w:shd w:val="clear" w:color="auto" w:fill="auto"/>
            <w:vAlign w:val="center"/>
            <w:hideMark/>
          </w:tcPr>
          <w:p w14:paraId="69F1786F"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744" w:type="dxa"/>
            <w:vAlign w:val="center"/>
          </w:tcPr>
          <w:p w14:paraId="1F659F54" w14:textId="07BB3BCB"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75%</w:t>
            </w:r>
          </w:p>
        </w:tc>
        <w:tc>
          <w:tcPr>
            <w:tcW w:w="1426" w:type="dxa"/>
            <w:vAlign w:val="center"/>
          </w:tcPr>
          <w:p w14:paraId="46A4418D" w14:textId="37564FBF" w:rsidR="00F75D56" w:rsidRPr="00F75D56" w:rsidRDefault="00F75D56" w:rsidP="00F75D56">
            <w:pPr>
              <w:jc w:val="center"/>
              <w:rPr>
                <w:rFonts w:asciiTheme="majorHAnsi" w:eastAsia="Times New Roman" w:hAnsiTheme="majorHAnsi" w:cstheme="majorHAnsi"/>
                <w:b/>
                <w:bCs/>
                <w:color w:val="000000" w:themeColor="text1"/>
                <w:sz w:val="18"/>
                <w:szCs w:val="18"/>
                <w:lang w:eastAsia="es-MX"/>
              </w:rPr>
            </w:pPr>
            <w:r w:rsidRPr="00F75D56">
              <w:rPr>
                <w:rFonts w:asciiTheme="majorHAnsi" w:eastAsia="Times New Roman" w:hAnsiTheme="majorHAnsi" w:cstheme="majorHAnsi"/>
                <w:b/>
                <w:bCs/>
                <w:color w:val="000000" w:themeColor="text1"/>
                <w:sz w:val="18"/>
                <w:szCs w:val="18"/>
                <w:lang w:eastAsia="es-MX"/>
              </w:rPr>
              <w:t>75%</w:t>
            </w:r>
          </w:p>
        </w:tc>
      </w:tr>
      <w:tr w:rsidR="00F75D56" w:rsidRPr="00D41C2E" w14:paraId="58FD8D30" w14:textId="267399C9" w:rsidTr="007331CF">
        <w:trPr>
          <w:trHeight w:val="680"/>
        </w:trPr>
        <w:tc>
          <w:tcPr>
            <w:tcW w:w="716" w:type="dxa"/>
            <w:vMerge w:val="restart"/>
            <w:shd w:val="clear" w:color="auto" w:fill="auto"/>
            <w:noWrap/>
            <w:vAlign w:val="center"/>
            <w:hideMark/>
          </w:tcPr>
          <w:p w14:paraId="52C1F106"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25</w:t>
            </w:r>
          </w:p>
        </w:tc>
        <w:tc>
          <w:tcPr>
            <w:tcW w:w="1772" w:type="dxa"/>
            <w:vMerge w:val="restart"/>
            <w:shd w:val="clear" w:color="auto" w:fill="auto"/>
            <w:vAlign w:val="center"/>
            <w:hideMark/>
          </w:tcPr>
          <w:p w14:paraId="7077D93B"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Transparencia de institutos de formación política ligados a partidos políticos</w:t>
            </w:r>
          </w:p>
        </w:tc>
        <w:tc>
          <w:tcPr>
            <w:tcW w:w="3603" w:type="dxa"/>
            <w:shd w:val="clear" w:color="auto" w:fill="auto"/>
            <w:vAlign w:val="center"/>
            <w:hideMark/>
          </w:tcPr>
          <w:p w14:paraId="5BE5EDA8"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 xml:space="preserve">Propuesta </w:t>
            </w:r>
            <w:proofErr w:type="spellStart"/>
            <w:r w:rsidRPr="00D41C2E">
              <w:rPr>
                <w:rFonts w:asciiTheme="majorHAnsi" w:eastAsia="Times New Roman" w:hAnsiTheme="majorHAnsi" w:cstheme="majorHAnsi"/>
                <w:color w:val="000000"/>
                <w:sz w:val="18"/>
                <w:szCs w:val="18"/>
                <w:lang w:eastAsia="es-MX"/>
              </w:rPr>
              <w:t>N°</w:t>
            </w:r>
            <w:proofErr w:type="spellEnd"/>
            <w:r w:rsidRPr="00D41C2E">
              <w:rPr>
                <w:rFonts w:asciiTheme="majorHAnsi" w:eastAsia="Times New Roman" w:hAnsiTheme="majorHAnsi" w:cstheme="majorHAnsi"/>
                <w:color w:val="000000"/>
                <w:sz w:val="18"/>
                <w:szCs w:val="18"/>
                <w:lang w:eastAsia="es-MX"/>
              </w:rPr>
              <w:t xml:space="preserve"> 25 Transparencia de institutos formación política ligados a partidos políticos</w:t>
            </w:r>
          </w:p>
        </w:tc>
        <w:tc>
          <w:tcPr>
            <w:tcW w:w="567" w:type="dxa"/>
            <w:shd w:val="clear" w:color="auto" w:fill="auto"/>
            <w:vAlign w:val="center"/>
            <w:hideMark/>
          </w:tcPr>
          <w:p w14:paraId="1EDB2A96"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744" w:type="dxa"/>
            <w:vAlign w:val="center"/>
          </w:tcPr>
          <w:p w14:paraId="07338699" w14:textId="660ABA2C"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67%</w:t>
            </w:r>
          </w:p>
        </w:tc>
        <w:tc>
          <w:tcPr>
            <w:tcW w:w="1426" w:type="dxa"/>
            <w:vMerge w:val="restart"/>
            <w:vAlign w:val="center"/>
          </w:tcPr>
          <w:p w14:paraId="3BDF8C83" w14:textId="3283F548" w:rsidR="00F75D56" w:rsidRPr="00F75D56" w:rsidRDefault="00F75D56" w:rsidP="00F75D56">
            <w:pPr>
              <w:jc w:val="center"/>
              <w:rPr>
                <w:rFonts w:asciiTheme="majorHAnsi" w:eastAsia="Times New Roman" w:hAnsiTheme="majorHAnsi" w:cstheme="majorHAnsi"/>
                <w:b/>
                <w:bCs/>
                <w:color w:val="000000" w:themeColor="text1"/>
                <w:sz w:val="18"/>
                <w:szCs w:val="18"/>
                <w:lang w:eastAsia="es-MX"/>
              </w:rPr>
            </w:pPr>
            <w:r>
              <w:rPr>
                <w:rFonts w:asciiTheme="majorHAnsi" w:eastAsia="Times New Roman" w:hAnsiTheme="majorHAnsi" w:cstheme="majorHAnsi"/>
                <w:b/>
                <w:bCs/>
                <w:color w:val="000000" w:themeColor="text1"/>
                <w:sz w:val="16"/>
                <w:szCs w:val="16"/>
                <w:lang w:eastAsia="es-MX"/>
              </w:rPr>
              <w:t>71%</w:t>
            </w:r>
          </w:p>
        </w:tc>
      </w:tr>
      <w:tr w:rsidR="00F75D56" w:rsidRPr="00D41C2E" w14:paraId="6D9BCD0E" w14:textId="0A1E44ED" w:rsidTr="007331CF">
        <w:trPr>
          <w:trHeight w:val="1020"/>
        </w:trPr>
        <w:tc>
          <w:tcPr>
            <w:tcW w:w="716" w:type="dxa"/>
            <w:vMerge/>
            <w:vAlign w:val="center"/>
            <w:hideMark/>
          </w:tcPr>
          <w:p w14:paraId="121E5C55" w14:textId="77777777" w:rsidR="00F75D56" w:rsidRPr="00D41C2E" w:rsidRDefault="00F75D56" w:rsidP="00F75D56">
            <w:pPr>
              <w:rPr>
                <w:rFonts w:asciiTheme="majorHAnsi" w:eastAsia="Times New Roman" w:hAnsiTheme="majorHAnsi" w:cstheme="majorHAnsi"/>
                <w:color w:val="000000"/>
                <w:sz w:val="18"/>
                <w:szCs w:val="18"/>
                <w:lang w:eastAsia="es-MX"/>
              </w:rPr>
            </w:pPr>
          </w:p>
        </w:tc>
        <w:tc>
          <w:tcPr>
            <w:tcW w:w="1772" w:type="dxa"/>
            <w:vMerge/>
            <w:vAlign w:val="center"/>
            <w:hideMark/>
          </w:tcPr>
          <w:p w14:paraId="02445A87" w14:textId="77777777" w:rsidR="00F75D56" w:rsidRPr="00D41C2E" w:rsidRDefault="00F75D56" w:rsidP="00F75D56">
            <w:pPr>
              <w:rPr>
                <w:rFonts w:asciiTheme="majorHAnsi" w:eastAsia="Times New Roman" w:hAnsiTheme="majorHAnsi" w:cstheme="majorHAnsi"/>
                <w:color w:val="000000"/>
                <w:sz w:val="18"/>
                <w:szCs w:val="18"/>
                <w:lang w:eastAsia="es-MX"/>
              </w:rPr>
            </w:pPr>
          </w:p>
        </w:tc>
        <w:tc>
          <w:tcPr>
            <w:tcW w:w="3603" w:type="dxa"/>
            <w:shd w:val="clear" w:color="auto" w:fill="auto"/>
            <w:vAlign w:val="center"/>
            <w:hideMark/>
          </w:tcPr>
          <w:p w14:paraId="3C90AB1D"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 xml:space="preserve">Propuesta </w:t>
            </w:r>
            <w:proofErr w:type="spellStart"/>
            <w:r w:rsidRPr="00D41C2E">
              <w:rPr>
                <w:rFonts w:asciiTheme="majorHAnsi" w:eastAsia="Times New Roman" w:hAnsiTheme="majorHAnsi" w:cstheme="majorHAnsi"/>
                <w:color w:val="000000"/>
                <w:sz w:val="18"/>
                <w:szCs w:val="18"/>
                <w:lang w:eastAsia="es-MX"/>
              </w:rPr>
              <w:t>N°</w:t>
            </w:r>
            <w:proofErr w:type="spellEnd"/>
            <w:r w:rsidRPr="00D41C2E">
              <w:rPr>
                <w:rFonts w:asciiTheme="majorHAnsi" w:eastAsia="Times New Roman" w:hAnsiTheme="majorHAnsi" w:cstheme="majorHAnsi"/>
                <w:color w:val="000000"/>
                <w:sz w:val="18"/>
                <w:szCs w:val="18"/>
                <w:lang w:eastAsia="es-MX"/>
              </w:rPr>
              <w:t xml:space="preserve"> 25 Transparencia de institutos formación</w:t>
            </w:r>
            <w:r w:rsidRPr="00D41C2E">
              <w:rPr>
                <w:rFonts w:asciiTheme="majorHAnsi" w:eastAsia="Times New Roman" w:hAnsiTheme="majorHAnsi" w:cstheme="majorHAnsi"/>
                <w:color w:val="000000"/>
                <w:sz w:val="18"/>
                <w:szCs w:val="18"/>
                <w:lang w:eastAsia="es-MX"/>
              </w:rPr>
              <w:br/>
              <w:t>política ligados a partidos políticos</w:t>
            </w:r>
          </w:p>
        </w:tc>
        <w:tc>
          <w:tcPr>
            <w:tcW w:w="567" w:type="dxa"/>
            <w:shd w:val="clear" w:color="auto" w:fill="auto"/>
            <w:vAlign w:val="center"/>
            <w:hideMark/>
          </w:tcPr>
          <w:p w14:paraId="15014AB5"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744" w:type="dxa"/>
            <w:vAlign w:val="center"/>
          </w:tcPr>
          <w:p w14:paraId="6C5A0358" w14:textId="1574F058"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75%</w:t>
            </w:r>
          </w:p>
        </w:tc>
        <w:tc>
          <w:tcPr>
            <w:tcW w:w="1426" w:type="dxa"/>
            <w:vMerge/>
            <w:vAlign w:val="center"/>
          </w:tcPr>
          <w:p w14:paraId="4646E894" w14:textId="2466F13B" w:rsidR="00F75D56" w:rsidRPr="00F75D56" w:rsidRDefault="00F75D56" w:rsidP="00F75D56">
            <w:pPr>
              <w:jc w:val="center"/>
              <w:rPr>
                <w:rFonts w:asciiTheme="majorHAnsi" w:eastAsia="Times New Roman" w:hAnsiTheme="majorHAnsi" w:cstheme="majorHAnsi"/>
                <w:b/>
                <w:bCs/>
                <w:color w:val="000000" w:themeColor="text1"/>
                <w:sz w:val="18"/>
                <w:szCs w:val="18"/>
                <w:lang w:eastAsia="es-MX"/>
              </w:rPr>
            </w:pPr>
          </w:p>
        </w:tc>
      </w:tr>
      <w:tr w:rsidR="00F75D56" w:rsidRPr="00D41C2E" w14:paraId="329C0DCB" w14:textId="29553D40" w:rsidTr="007331CF">
        <w:trPr>
          <w:trHeight w:val="1360"/>
        </w:trPr>
        <w:tc>
          <w:tcPr>
            <w:tcW w:w="716" w:type="dxa"/>
            <w:shd w:val="clear" w:color="auto" w:fill="auto"/>
            <w:noWrap/>
            <w:vAlign w:val="center"/>
            <w:hideMark/>
          </w:tcPr>
          <w:p w14:paraId="0D1680FC"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26</w:t>
            </w:r>
          </w:p>
        </w:tc>
        <w:tc>
          <w:tcPr>
            <w:tcW w:w="1772" w:type="dxa"/>
            <w:shd w:val="clear" w:color="auto" w:fill="auto"/>
            <w:noWrap/>
            <w:vAlign w:val="center"/>
            <w:hideMark/>
          </w:tcPr>
          <w:p w14:paraId="5C3A7E3B"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Fortalecer normativa de lobby</w:t>
            </w:r>
          </w:p>
        </w:tc>
        <w:tc>
          <w:tcPr>
            <w:tcW w:w="3603" w:type="dxa"/>
            <w:shd w:val="clear" w:color="auto" w:fill="auto"/>
            <w:vAlign w:val="center"/>
            <w:hideMark/>
          </w:tcPr>
          <w:p w14:paraId="47BB2CE0"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presentará un proyecto de ley que ya fue anunciado por el presidente, a fin de recoger los estándares internacionales.</w:t>
            </w:r>
          </w:p>
        </w:tc>
        <w:tc>
          <w:tcPr>
            <w:tcW w:w="567" w:type="dxa"/>
            <w:shd w:val="clear" w:color="auto" w:fill="auto"/>
            <w:vAlign w:val="center"/>
            <w:hideMark/>
          </w:tcPr>
          <w:p w14:paraId="72B55C1F"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Mediano</w:t>
            </w:r>
          </w:p>
        </w:tc>
        <w:tc>
          <w:tcPr>
            <w:tcW w:w="744" w:type="dxa"/>
            <w:vAlign w:val="center"/>
          </w:tcPr>
          <w:p w14:paraId="16D46030" w14:textId="0D56BEA0"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426" w:type="dxa"/>
            <w:vAlign w:val="center"/>
          </w:tcPr>
          <w:p w14:paraId="461B7EAA" w14:textId="05A36AB6" w:rsidR="00F75D56" w:rsidRPr="00F75D56" w:rsidRDefault="00F75D56" w:rsidP="00F75D56">
            <w:pPr>
              <w:jc w:val="center"/>
              <w:rPr>
                <w:rFonts w:asciiTheme="majorHAnsi" w:eastAsia="Times New Roman" w:hAnsiTheme="majorHAnsi" w:cstheme="majorHAnsi"/>
                <w:b/>
                <w:bCs/>
                <w:color w:val="000000" w:themeColor="text1"/>
                <w:sz w:val="18"/>
                <w:szCs w:val="18"/>
                <w:lang w:eastAsia="es-MX"/>
              </w:rPr>
            </w:pPr>
            <w:r>
              <w:rPr>
                <w:rFonts w:asciiTheme="majorHAnsi" w:eastAsia="Times New Roman" w:hAnsiTheme="majorHAnsi" w:cstheme="majorHAnsi"/>
                <w:b/>
                <w:bCs/>
                <w:color w:val="000000" w:themeColor="text1"/>
                <w:sz w:val="16"/>
                <w:szCs w:val="16"/>
                <w:lang w:eastAsia="es-MX"/>
              </w:rPr>
              <w:t>0%</w:t>
            </w:r>
          </w:p>
        </w:tc>
      </w:tr>
    </w:tbl>
    <w:p w14:paraId="77ACC63F" w14:textId="77777777" w:rsidR="000F1D3F" w:rsidRDefault="000F1D3F"/>
    <w:p w14:paraId="6A027911" w14:textId="177F3564" w:rsidR="00B72218" w:rsidRPr="008B4B40" w:rsidRDefault="00B72218">
      <w:pPr>
        <w:rPr>
          <w:rFonts w:cstheme="minorHAnsi"/>
          <w:b/>
          <w:bCs/>
          <w:color w:val="67ABDF"/>
          <w:lang w:val="es-ES_tradnl"/>
        </w:rPr>
      </w:pPr>
      <w:r w:rsidRPr="002F7611">
        <w:rPr>
          <w:rFonts w:cstheme="minorHAnsi"/>
          <w:b/>
          <w:bCs/>
          <w:color w:val="67ABDF"/>
          <w:lang w:val="es-ES_tradnl"/>
        </w:rPr>
        <w:t>GOBIERNO CORPORATIVO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281"/>
      </w:tblGrid>
      <w:tr w:rsidR="008B4B40" w:rsidRPr="008B4B40" w14:paraId="39B8AF63" w14:textId="77777777" w:rsidTr="008B4B40">
        <w:tc>
          <w:tcPr>
            <w:tcW w:w="2547" w:type="dxa"/>
          </w:tcPr>
          <w:p w14:paraId="2C5693B2" w14:textId="76D372E2" w:rsidR="008B4B40" w:rsidRPr="008B4B40" w:rsidRDefault="008B4B40">
            <w:pPr>
              <w:rPr>
                <w:rFonts w:asciiTheme="majorHAnsi" w:hAnsiTheme="majorHAnsi" w:cstheme="majorHAnsi"/>
              </w:rPr>
            </w:pPr>
            <w:r w:rsidRPr="008B4B40">
              <w:rPr>
                <w:rFonts w:asciiTheme="majorHAnsi" w:hAnsiTheme="majorHAnsi" w:cstheme="majorHAnsi"/>
                <w:noProof/>
              </w:rPr>
              <w:drawing>
                <wp:inline distT="0" distB="0" distL="0" distR="0" wp14:anchorId="28EB41DD" wp14:editId="644A7534">
                  <wp:extent cx="1069145" cy="1055662"/>
                  <wp:effectExtent l="0" t="0" r="0" b="0"/>
                  <wp:docPr id="11357783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778300" name=""/>
                          <pic:cNvPicPr/>
                        </pic:nvPicPr>
                        <pic:blipFill rotWithShape="1">
                          <a:blip r:embed="rId10"/>
                          <a:srcRect l="19854" t="16652" r="19769"/>
                          <a:stretch/>
                        </pic:blipFill>
                        <pic:spPr bwMode="auto">
                          <a:xfrm>
                            <a:off x="0" y="0"/>
                            <a:ext cx="1099986" cy="1086114"/>
                          </a:xfrm>
                          <a:prstGeom prst="rect">
                            <a:avLst/>
                          </a:prstGeom>
                          <a:ln>
                            <a:noFill/>
                          </a:ln>
                          <a:extLst>
                            <a:ext uri="{53640926-AAD7-44D8-BBD7-CCE9431645EC}">
                              <a14:shadowObscured xmlns:a14="http://schemas.microsoft.com/office/drawing/2010/main"/>
                            </a:ext>
                          </a:extLst>
                        </pic:spPr>
                      </pic:pic>
                    </a:graphicData>
                  </a:graphic>
                </wp:inline>
              </w:drawing>
            </w:r>
          </w:p>
        </w:tc>
        <w:tc>
          <w:tcPr>
            <w:tcW w:w="6281" w:type="dxa"/>
          </w:tcPr>
          <w:p w14:paraId="106CD1C8" w14:textId="1F43051D" w:rsidR="008B4B40" w:rsidRPr="008B4B40" w:rsidRDefault="00CF733C" w:rsidP="00CF733C">
            <w:pPr>
              <w:jc w:val="both"/>
              <w:rPr>
                <w:rFonts w:asciiTheme="majorHAnsi" w:hAnsiTheme="majorHAnsi" w:cstheme="majorHAnsi"/>
              </w:rPr>
            </w:pPr>
            <w:r>
              <w:rPr>
                <w:rFonts w:asciiTheme="majorHAnsi" w:hAnsiTheme="majorHAnsi" w:cstheme="majorHAnsi"/>
              </w:rPr>
              <w:t>Se ha avanzado en regular las corporaciones municipales al alero del proyecto de ley de integridad municipal, pero es necesario no descuidar las acciones destinadas a fortalecer las acciones de la sociedad civil.</w:t>
            </w:r>
          </w:p>
        </w:tc>
      </w:tr>
    </w:tbl>
    <w:p w14:paraId="05DABA0B" w14:textId="77777777" w:rsidR="00B72218" w:rsidRDefault="00B72218"/>
    <w:tbl>
      <w:tblPr>
        <w:tblW w:w="8828" w:type="dxa"/>
        <w:tblBorders>
          <w:top w:val="single" w:sz="4" w:space="0" w:color="67ABDF"/>
          <w:left w:val="single" w:sz="4" w:space="0" w:color="67ABDF"/>
          <w:bottom w:val="single" w:sz="4" w:space="0" w:color="67ABDF"/>
          <w:right w:val="single" w:sz="4" w:space="0" w:color="67ABDF"/>
          <w:insideH w:val="single" w:sz="4" w:space="0" w:color="67ABDF"/>
          <w:insideV w:val="single" w:sz="4" w:space="0" w:color="67ABDF"/>
        </w:tblBorders>
        <w:tblLayout w:type="fixed"/>
        <w:tblCellMar>
          <w:left w:w="70" w:type="dxa"/>
          <w:right w:w="70" w:type="dxa"/>
        </w:tblCellMar>
        <w:tblLook w:val="04A0" w:firstRow="1" w:lastRow="0" w:firstColumn="1" w:lastColumn="0" w:noHBand="0" w:noVBand="1"/>
      </w:tblPr>
      <w:tblGrid>
        <w:gridCol w:w="715"/>
        <w:gridCol w:w="1772"/>
        <w:gridCol w:w="3462"/>
        <w:gridCol w:w="850"/>
        <w:gridCol w:w="804"/>
        <w:gridCol w:w="1225"/>
      </w:tblGrid>
      <w:tr w:rsidR="00F75D56" w:rsidRPr="00D41C2E" w14:paraId="1FDD9197" w14:textId="5271E6A7" w:rsidTr="007331CF">
        <w:trPr>
          <w:trHeight w:val="310"/>
        </w:trPr>
        <w:tc>
          <w:tcPr>
            <w:tcW w:w="715" w:type="dxa"/>
            <w:shd w:val="clear" w:color="auto" w:fill="67ABDF"/>
            <w:noWrap/>
            <w:vAlign w:val="center"/>
          </w:tcPr>
          <w:p w14:paraId="7E8BE4FA" w14:textId="3AF863DF" w:rsidR="00F75D56" w:rsidRPr="00D41C2E" w:rsidRDefault="00F75D56" w:rsidP="00F75D56">
            <w:pPr>
              <w:jc w:val="center"/>
              <w:rPr>
                <w:rFonts w:asciiTheme="majorHAnsi" w:eastAsia="Times New Roman" w:hAnsiTheme="majorHAnsi" w:cstheme="majorHAnsi"/>
                <w:color w:val="000000"/>
                <w:sz w:val="18"/>
                <w:szCs w:val="18"/>
                <w:lang w:eastAsia="es-MX"/>
              </w:rPr>
            </w:pPr>
            <w:proofErr w:type="spellStart"/>
            <w:r w:rsidRPr="00D41C2E">
              <w:rPr>
                <w:rFonts w:asciiTheme="majorHAnsi" w:eastAsia="Times New Roman" w:hAnsiTheme="majorHAnsi" w:cstheme="majorHAnsi"/>
                <w:b/>
                <w:bCs/>
                <w:color w:val="FFFFFF"/>
                <w:sz w:val="16"/>
                <w:szCs w:val="16"/>
                <w:lang w:eastAsia="es-MX"/>
              </w:rPr>
              <w:t>N°</w:t>
            </w:r>
            <w:proofErr w:type="spellEnd"/>
            <w:r w:rsidRPr="00D41C2E">
              <w:rPr>
                <w:rFonts w:asciiTheme="majorHAnsi" w:eastAsia="Times New Roman" w:hAnsiTheme="majorHAnsi" w:cstheme="majorHAnsi"/>
                <w:b/>
                <w:bCs/>
                <w:color w:val="FFFFFF"/>
                <w:sz w:val="16"/>
                <w:szCs w:val="16"/>
                <w:lang w:eastAsia="es-MX"/>
              </w:rPr>
              <w:t xml:space="preserve"> </w:t>
            </w:r>
          </w:p>
        </w:tc>
        <w:tc>
          <w:tcPr>
            <w:tcW w:w="1772" w:type="dxa"/>
            <w:shd w:val="clear" w:color="auto" w:fill="67ABDF"/>
            <w:noWrap/>
            <w:vAlign w:val="center"/>
          </w:tcPr>
          <w:p w14:paraId="57DC4447" w14:textId="661C48A0"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MEDIDA</w:t>
            </w:r>
          </w:p>
        </w:tc>
        <w:tc>
          <w:tcPr>
            <w:tcW w:w="3462" w:type="dxa"/>
            <w:shd w:val="clear" w:color="auto" w:fill="67ABDF"/>
            <w:vAlign w:val="center"/>
          </w:tcPr>
          <w:p w14:paraId="38344291" w14:textId="661B05DA" w:rsidR="00F75D56" w:rsidRPr="00D41C2E" w:rsidRDefault="00F75D56" w:rsidP="00F75D56">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FFFFFF"/>
                <w:sz w:val="16"/>
                <w:szCs w:val="16"/>
                <w:lang w:eastAsia="es-MX"/>
              </w:rPr>
              <w:t>ACCIÓN</w:t>
            </w:r>
          </w:p>
        </w:tc>
        <w:tc>
          <w:tcPr>
            <w:tcW w:w="850" w:type="dxa"/>
            <w:shd w:val="clear" w:color="auto" w:fill="67ABDF"/>
            <w:noWrap/>
            <w:vAlign w:val="center"/>
          </w:tcPr>
          <w:p w14:paraId="47EA884C" w14:textId="35BC7355"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FFFFFF"/>
                <w:sz w:val="16"/>
                <w:szCs w:val="16"/>
                <w:lang w:eastAsia="es-MX"/>
              </w:rPr>
              <w:t>PLAZO </w:t>
            </w:r>
          </w:p>
        </w:tc>
        <w:tc>
          <w:tcPr>
            <w:tcW w:w="804" w:type="dxa"/>
            <w:shd w:val="clear" w:color="auto" w:fill="67ABDF"/>
            <w:vAlign w:val="center"/>
          </w:tcPr>
          <w:p w14:paraId="0B7B9A5D" w14:textId="1C81868D"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AVANCE</w:t>
            </w:r>
          </w:p>
        </w:tc>
        <w:tc>
          <w:tcPr>
            <w:tcW w:w="1225" w:type="dxa"/>
            <w:shd w:val="clear" w:color="auto" w:fill="67ABDF"/>
          </w:tcPr>
          <w:p w14:paraId="76AA7C4A" w14:textId="3013920F" w:rsidR="00F75D56" w:rsidRDefault="00F75D56" w:rsidP="00F75D56">
            <w:pPr>
              <w:jc w:val="center"/>
              <w:rPr>
                <w:rFonts w:asciiTheme="majorHAnsi" w:eastAsia="Times New Roman" w:hAnsiTheme="majorHAnsi" w:cstheme="majorHAnsi"/>
                <w:b/>
                <w:bCs/>
                <w:color w:val="FFFFFF"/>
                <w:sz w:val="16"/>
                <w:szCs w:val="16"/>
                <w:lang w:eastAsia="es-MX"/>
              </w:rPr>
            </w:pPr>
            <w:r w:rsidRPr="00FF08D7">
              <w:rPr>
                <w:rFonts w:asciiTheme="majorHAnsi" w:eastAsia="Times New Roman" w:hAnsiTheme="majorHAnsi" w:cstheme="majorHAnsi"/>
                <w:b/>
                <w:bCs/>
                <w:color w:val="FFFFFF"/>
                <w:sz w:val="16"/>
                <w:szCs w:val="16"/>
                <w:lang w:eastAsia="es-MX"/>
              </w:rPr>
              <w:t>CUMPLIMIENTO</w:t>
            </w:r>
          </w:p>
        </w:tc>
      </w:tr>
      <w:tr w:rsidR="008506AD" w:rsidRPr="00D41C2E" w14:paraId="16A13BF0" w14:textId="056F2B1B" w:rsidTr="007331CF">
        <w:trPr>
          <w:trHeight w:val="1020"/>
        </w:trPr>
        <w:tc>
          <w:tcPr>
            <w:tcW w:w="715" w:type="dxa"/>
            <w:vMerge w:val="restart"/>
            <w:shd w:val="clear" w:color="auto" w:fill="auto"/>
            <w:noWrap/>
            <w:vAlign w:val="center"/>
            <w:hideMark/>
          </w:tcPr>
          <w:p w14:paraId="27C9FA3E" w14:textId="77777777" w:rsidR="008506AD" w:rsidRPr="00D41C2E" w:rsidRDefault="008506AD"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27</w:t>
            </w:r>
          </w:p>
        </w:tc>
        <w:tc>
          <w:tcPr>
            <w:tcW w:w="1772" w:type="dxa"/>
            <w:vMerge w:val="restart"/>
            <w:shd w:val="clear" w:color="auto" w:fill="auto"/>
            <w:noWrap/>
            <w:vAlign w:val="center"/>
            <w:hideMark/>
          </w:tcPr>
          <w:p w14:paraId="185830FE" w14:textId="77777777" w:rsidR="008506AD" w:rsidRPr="00D41C2E" w:rsidRDefault="008506AD" w:rsidP="00CF733C">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Fortalecer gobernanza de las IPSFL en que participa el Estado</w:t>
            </w:r>
          </w:p>
        </w:tc>
        <w:tc>
          <w:tcPr>
            <w:tcW w:w="3462" w:type="dxa"/>
            <w:shd w:val="clear" w:color="auto" w:fill="auto"/>
            <w:vAlign w:val="center"/>
            <w:hideMark/>
          </w:tcPr>
          <w:p w14:paraId="0EFAB5C3" w14:textId="77777777" w:rsidR="008506AD" w:rsidRPr="00D41C2E" w:rsidRDefault="008506AD"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Se realizará un diagnóstico sobre el universo de estas instituciones para evaluar una modificación legal.</w:t>
            </w:r>
          </w:p>
        </w:tc>
        <w:tc>
          <w:tcPr>
            <w:tcW w:w="850" w:type="dxa"/>
            <w:shd w:val="clear" w:color="auto" w:fill="auto"/>
            <w:noWrap/>
            <w:vAlign w:val="center"/>
            <w:hideMark/>
          </w:tcPr>
          <w:p w14:paraId="431BA54C" w14:textId="77777777" w:rsidR="008506AD" w:rsidRPr="00D41C2E" w:rsidRDefault="008506AD"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51FD5532" w14:textId="2C64AF9E"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67%</w:t>
            </w:r>
          </w:p>
        </w:tc>
        <w:tc>
          <w:tcPr>
            <w:tcW w:w="1225" w:type="dxa"/>
            <w:vMerge w:val="restart"/>
            <w:vAlign w:val="center"/>
          </w:tcPr>
          <w:p w14:paraId="14D566D4" w14:textId="39089ED9"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33%</w:t>
            </w:r>
          </w:p>
        </w:tc>
      </w:tr>
      <w:tr w:rsidR="008506AD" w:rsidRPr="00D41C2E" w14:paraId="5E040FFF" w14:textId="59D69972" w:rsidTr="007331CF">
        <w:trPr>
          <w:trHeight w:val="680"/>
        </w:trPr>
        <w:tc>
          <w:tcPr>
            <w:tcW w:w="715" w:type="dxa"/>
            <w:vMerge/>
            <w:vAlign w:val="center"/>
            <w:hideMark/>
          </w:tcPr>
          <w:p w14:paraId="42852C2C" w14:textId="77777777" w:rsidR="008506AD" w:rsidRPr="00D41C2E" w:rsidRDefault="008506AD" w:rsidP="00F75D56">
            <w:pPr>
              <w:rPr>
                <w:rFonts w:asciiTheme="majorHAnsi" w:eastAsia="Times New Roman" w:hAnsiTheme="majorHAnsi" w:cstheme="majorHAnsi"/>
                <w:color w:val="000000"/>
                <w:sz w:val="18"/>
                <w:szCs w:val="18"/>
                <w:lang w:eastAsia="es-MX"/>
              </w:rPr>
            </w:pPr>
          </w:p>
        </w:tc>
        <w:tc>
          <w:tcPr>
            <w:tcW w:w="1772" w:type="dxa"/>
            <w:vMerge/>
            <w:vAlign w:val="center"/>
            <w:hideMark/>
          </w:tcPr>
          <w:p w14:paraId="320E6058" w14:textId="77777777" w:rsidR="008506AD" w:rsidRPr="00D41C2E" w:rsidRDefault="008506AD" w:rsidP="00F75D56">
            <w:pPr>
              <w:rPr>
                <w:rFonts w:asciiTheme="majorHAnsi" w:eastAsia="Times New Roman" w:hAnsiTheme="majorHAnsi" w:cstheme="majorHAnsi"/>
                <w:color w:val="000000"/>
                <w:sz w:val="18"/>
                <w:szCs w:val="18"/>
                <w:lang w:eastAsia="es-MX"/>
              </w:rPr>
            </w:pPr>
          </w:p>
        </w:tc>
        <w:tc>
          <w:tcPr>
            <w:tcW w:w="3462" w:type="dxa"/>
            <w:shd w:val="clear" w:color="auto" w:fill="auto"/>
            <w:vAlign w:val="center"/>
            <w:hideMark/>
          </w:tcPr>
          <w:p w14:paraId="5BC174A1" w14:textId="77777777" w:rsidR="008506AD" w:rsidRPr="00D41C2E" w:rsidRDefault="008506AD"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En base al diagnóstico, se ingresará un proyecto de ley.</w:t>
            </w:r>
          </w:p>
        </w:tc>
        <w:tc>
          <w:tcPr>
            <w:tcW w:w="850" w:type="dxa"/>
            <w:shd w:val="clear" w:color="auto" w:fill="auto"/>
            <w:noWrap/>
            <w:vAlign w:val="center"/>
            <w:hideMark/>
          </w:tcPr>
          <w:p w14:paraId="27A41D48" w14:textId="77777777" w:rsidR="008506AD" w:rsidRPr="00D41C2E" w:rsidRDefault="008506AD"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4B4054FB" w14:textId="1F92224A"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vAlign w:val="center"/>
          </w:tcPr>
          <w:p w14:paraId="18C9A0BB" w14:textId="77777777" w:rsidR="008506AD" w:rsidRPr="008506AD" w:rsidRDefault="008506AD" w:rsidP="008506AD">
            <w:pPr>
              <w:jc w:val="center"/>
              <w:rPr>
                <w:rFonts w:asciiTheme="majorHAnsi" w:eastAsia="Times New Roman" w:hAnsiTheme="majorHAnsi" w:cstheme="majorHAnsi"/>
                <w:b/>
                <w:bCs/>
                <w:color w:val="000000"/>
                <w:sz w:val="18"/>
                <w:szCs w:val="18"/>
                <w:lang w:eastAsia="es-MX"/>
              </w:rPr>
            </w:pPr>
          </w:p>
        </w:tc>
      </w:tr>
      <w:tr w:rsidR="00F75D56" w:rsidRPr="00D41C2E" w14:paraId="37F82615" w14:textId="0A27D225" w:rsidTr="007331CF">
        <w:trPr>
          <w:trHeight w:val="1668"/>
        </w:trPr>
        <w:tc>
          <w:tcPr>
            <w:tcW w:w="715" w:type="dxa"/>
            <w:shd w:val="clear" w:color="auto" w:fill="auto"/>
            <w:noWrap/>
            <w:vAlign w:val="center"/>
            <w:hideMark/>
          </w:tcPr>
          <w:p w14:paraId="5CE6965B"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28</w:t>
            </w:r>
          </w:p>
        </w:tc>
        <w:tc>
          <w:tcPr>
            <w:tcW w:w="1772" w:type="dxa"/>
            <w:shd w:val="clear" w:color="auto" w:fill="auto"/>
            <w:vAlign w:val="center"/>
            <w:hideMark/>
          </w:tcPr>
          <w:p w14:paraId="7D39161B"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Políticas de capacitación y asesoría en modelos de prevención de irregularidades,  conflictos de interés, etc.</w:t>
            </w:r>
          </w:p>
        </w:tc>
        <w:tc>
          <w:tcPr>
            <w:tcW w:w="3462" w:type="dxa"/>
            <w:shd w:val="clear" w:color="auto" w:fill="auto"/>
            <w:vAlign w:val="center"/>
            <w:hideMark/>
          </w:tcPr>
          <w:p w14:paraId="59FFBC49"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Abordaremos un plan de capacitaciones a IPSFL en una acción conjunta poniendo a disposición cursos sobre conflictos de intereses y modelos de prevención de irregularidades.</w:t>
            </w:r>
          </w:p>
        </w:tc>
        <w:tc>
          <w:tcPr>
            <w:tcW w:w="850" w:type="dxa"/>
            <w:shd w:val="clear" w:color="auto" w:fill="auto"/>
            <w:vAlign w:val="center"/>
            <w:hideMark/>
          </w:tcPr>
          <w:p w14:paraId="42E72160"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Mediano</w:t>
            </w:r>
          </w:p>
        </w:tc>
        <w:tc>
          <w:tcPr>
            <w:tcW w:w="804" w:type="dxa"/>
            <w:vAlign w:val="center"/>
          </w:tcPr>
          <w:p w14:paraId="399E6656" w14:textId="31E4ED99"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34B58F5D" w14:textId="27CD8881"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F75D56" w:rsidRPr="00D41C2E" w14:paraId="63916890" w14:textId="3449A5EC" w:rsidTr="007331CF">
        <w:trPr>
          <w:trHeight w:val="340"/>
        </w:trPr>
        <w:tc>
          <w:tcPr>
            <w:tcW w:w="715" w:type="dxa"/>
            <w:shd w:val="clear" w:color="auto" w:fill="auto"/>
            <w:noWrap/>
            <w:vAlign w:val="center"/>
            <w:hideMark/>
          </w:tcPr>
          <w:p w14:paraId="45D9D509"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29</w:t>
            </w:r>
          </w:p>
        </w:tc>
        <w:tc>
          <w:tcPr>
            <w:tcW w:w="1772" w:type="dxa"/>
            <w:shd w:val="clear" w:color="auto" w:fill="auto"/>
            <w:noWrap/>
            <w:vAlign w:val="center"/>
            <w:hideMark/>
          </w:tcPr>
          <w:p w14:paraId="20D83F0D" w14:textId="77777777" w:rsidR="00F75D56" w:rsidRPr="00D41C2E" w:rsidRDefault="00F75D56"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Regular dieta de directores</w:t>
            </w:r>
          </w:p>
        </w:tc>
        <w:tc>
          <w:tcPr>
            <w:tcW w:w="3462" w:type="dxa"/>
            <w:shd w:val="clear" w:color="auto" w:fill="auto"/>
            <w:vAlign w:val="center"/>
            <w:hideMark/>
          </w:tcPr>
          <w:p w14:paraId="11454DF0" w14:textId="77777777" w:rsidR="00F75D56" w:rsidRPr="00D41C2E" w:rsidRDefault="00F75D56" w:rsidP="00F75D56">
            <w:pPr>
              <w:rPr>
                <w:rFonts w:asciiTheme="majorHAnsi" w:eastAsia="Times New Roman" w:hAnsiTheme="majorHAnsi" w:cstheme="majorHAnsi"/>
                <w:color w:val="FF0000"/>
                <w:sz w:val="18"/>
                <w:szCs w:val="18"/>
                <w:lang w:eastAsia="es-MX"/>
              </w:rPr>
            </w:pPr>
            <w:r w:rsidRPr="002F7611">
              <w:rPr>
                <w:rFonts w:asciiTheme="majorHAnsi" w:eastAsia="Times New Roman" w:hAnsiTheme="majorHAnsi" w:cstheme="majorHAnsi"/>
                <w:color w:val="000000" w:themeColor="text1"/>
                <w:sz w:val="18"/>
                <w:szCs w:val="18"/>
                <w:lang w:eastAsia="es-MX"/>
              </w:rPr>
              <w:t>No recogida</w:t>
            </w:r>
          </w:p>
        </w:tc>
        <w:tc>
          <w:tcPr>
            <w:tcW w:w="850" w:type="dxa"/>
            <w:shd w:val="clear" w:color="auto" w:fill="auto"/>
            <w:noWrap/>
            <w:vAlign w:val="center"/>
            <w:hideMark/>
          </w:tcPr>
          <w:p w14:paraId="2ACBB2A7" w14:textId="77777777"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 </w:t>
            </w:r>
          </w:p>
        </w:tc>
        <w:tc>
          <w:tcPr>
            <w:tcW w:w="804" w:type="dxa"/>
            <w:vAlign w:val="center"/>
          </w:tcPr>
          <w:p w14:paraId="0B9A1388" w14:textId="4B23F238"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086F1EFC" w14:textId="2E0C455B"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8506AD" w:rsidRPr="00D41C2E" w14:paraId="2EE489DA" w14:textId="2A0471A1" w:rsidTr="007331CF">
        <w:trPr>
          <w:trHeight w:val="1358"/>
        </w:trPr>
        <w:tc>
          <w:tcPr>
            <w:tcW w:w="715" w:type="dxa"/>
            <w:vMerge w:val="restart"/>
            <w:shd w:val="clear" w:color="auto" w:fill="auto"/>
            <w:noWrap/>
            <w:vAlign w:val="center"/>
            <w:hideMark/>
          </w:tcPr>
          <w:p w14:paraId="5C65497B" w14:textId="77777777" w:rsidR="008506AD" w:rsidRPr="00D41C2E" w:rsidRDefault="008506AD"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lastRenderedPageBreak/>
              <w:t>30</w:t>
            </w:r>
          </w:p>
        </w:tc>
        <w:tc>
          <w:tcPr>
            <w:tcW w:w="1772" w:type="dxa"/>
            <w:vMerge w:val="restart"/>
            <w:shd w:val="clear" w:color="auto" w:fill="auto"/>
            <w:vAlign w:val="center"/>
            <w:hideMark/>
          </w:tcPr>
          <w:p w14:paraId="67569449" w14:textId="77777777" w:rsidR="008506AD" w:rsidRPr="00D41C2E" w:rsidRDefault="008506AD" w:rsidP="00490B92">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Integrar corporaciones municipales en el sistema de gestión y  control oficial de cada municipio</w:t>
            </w:r>
          </w:p>
        </w:tc>
        <w:tc>
          <w:tcPr>
            <w:tcW w:w="3462" w:type="dxa"/>
            <w:shd w:val="clear" w:color="auto" w:fill="auto"/>
            <w:vAlign w:val="center"/>
            <w:hideMark/>
          </w:tcPr>
          <w:p w14:paraId="763842BC" w14:textId="77777777" w:rsidR="008506AD" w:rsidRPr="00D41C2E" w:rsidRDefault="008506AD"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Corporaciones municipales son incorporadas en el sistema de Compras Públicas, en el proyecto que fue despachado a ley y que se encuentra en revisión de constitucionalidad en el TC.</w:t>
            </w:r>
          </w:p>
        </w:tc>
        <w:tc>
          <w:tcPr>
            <w:tcW w:w="850" w:type="dxa"/>
            <w:shd w:val="clear" w:color="auto" w:fill="auto"/>
            <w:noWrap/>
            <w:vAlign w:val="center"/>
            <w:hideMark/>
          </w:tcPr>
          <w:p w14:paraId="6765290B" w14:textId="77777777" w:rsidR="008506AD" w:rsidRPr="00D41C2E" w:rsidRDefault="008506AD"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69B1CD2F" w14:textId="214674C5"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100%</w:t>
            </w:r>
          </w:p>
        </w:tc>
        <w:tc>
          <w:tcPr>
            <w:tcW w:w="1225" w:type="dxa"/>
            <w:vMerge w:val="restart"/>
            <w:vAlign w:val="center"/>
          </w:tcPr>
          <w:p w14:paraId="0787FD4A" w14:textId="090C5942"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88%</w:t>
            </w:r>
          </w:p>
        </w:tc>
      </w:tr>
      <w:tr w:rsidR="008506AD" w:rsidRPr="00D41C2E" w14:paraId="370A2CF9" w14:textId="070CC485" w:rsidTr="007331CF">
        <w:trPr>
          <w:trHeight w:val="839"/>
        </w:trPr>
        <w:tc>
          <w:tcPr>
            <w:tcW w:w="715" w:type="dxa"/>
            <w:vMerge/>
            <w:vAlign w:val="center"/>
            <w:hideMark/>
          </w:tcPr>
          <w:p w14:paraId="10893788" w14:textId="77777777" w:rsidR="008506AD" w:rsidRPr="00D41C2E" w:rsidRDefault="008506AD" w:rsidP="00F75D56">
            <w:pPr>
              <w:rPr>
                <w:rFonts w:asciiTheme="majorHAnsi" w:eastAsia="Times New Roman" w:hAnsiTheme="majorHAnsi" w:cstheme="majorHAnsi"/>
                <w:color w:val="000000"/>
                <w:sz w:val="18"/>
                <w:szCs w:val="18"/>
                <w:lang w:eastAsia="es-MX"/>
              </w:rPr>
            </w:pPr>
          </w:p>
        </w:tc>
        <w:tc>
          <w:tcPr>
            <w:tcW w:w="1772" w:type="dxa"/>
            <w:vMerge/>
            <w:vAlign w:val="center"/>
            <w:hideMark/>
          </w:tcPr>
          <w:p w14:paraId="310F27F3" w14:textId="77777777" w:rsidR="008506AD" w:rsidRPr="00D41C2E" w:rsidRDefault="008506AD" w:rsidP="00F75D56">
            <w:pPr>
              <w:rPr>
                <w:rFonts w:asciiTheme="majorHAnsi" w:eastAsia="Times New Roman" w:hAnsiTheme="majorHAnsi" w:cstheme="majorHAnsi"/>
                <w:color w:val="000000"/>
                <w:sz w:val="18"/>
                <w:szCs w:val="18"/>
                <w:lang w:eastAsia="es-MX"/>
              </w:rPr>
            </w:pPr>
          </w:p>
        </w:tc>
        <w:tc>
          <w:tcPr>
            <w:tcW w:w="3462" w:type="dxa"/>
            <w:shd w:val="clear" w:color="auto" w:fill="auto"/>
            <w:vAlign w:val="center"/>
            <w:hideMark/>
          </w:tcPr>
          <w:p w14:paraId="15A392E8" w14:textId="77777777" w:rsidR="008506AD" w:rsidRPr="00D41C2E" w:rsidRDefault="008506AD" w:rsidP="00F75D56">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Indicaciones en el proyecto de ley de integridad en municipios que se tramita en la Comisión de Gobierno Interior de la Cámara.</w:t>
            </w:r>
          </w:p>
        </w:tc>
        <w:tc>
          <w:tcPr>
            <w:tcW w:w="850" w:type="dxa"/>
            <w:shd w:val="clear" w:color="auto" w:fill="auto"/>
            <w:noWrap/>
            <w:vAlign w:val="center"/>
            <w:hideMark/>
          </w:tcPr>
          <w:p w14:paraId="3F478D72" w14:textId="77777777" w:rsidR="008506AD" w:rsidRPr="00D41C2E" w:rsidRDefault="008506AD"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1B625298" w14:textId="29675FCC"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75%</w:t>
            </w:r>
          </w:p>
        </w:tc>
        <w:tc>
          <w:tcPr>
            <w:tcW w:w="1225" w:type="dxa"/>
            <w:vMerge/>
            <w:vAlign w:val="center"/>
          </w:tcPr>
          <w:p w14:paraId="0FDBE47B"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p>
        </w:tc>
      </w:tr>
    </w:tbl>
    <w:p w14:paraId="639588AC" w14:textId="77777777" w:rsidR="000F1D3F" w:rsidRDefault="000F1D3F"/>
    <w:p w14:paraId="73166B99" w14:textId="52BD7D90" w:rsidR="00B72218" w:rsidRDefault="00B72218">
      <w:pPr>
        <w:rPr>
          <w:rFonts w:cstheme="minorHAnsi"/>
          <w:b/>
          <w:bCs/>
          <w:color w:val="67ABDF"/>
          <w:lang w:val="es-ES_tradnl"/>
        </w:rPr>
      </w:pPr>
      <w:r w:rsidRPr="002F7611">
        <w:rPr>
          <w:rFonts w:cstheme="minorHAnsi"/>
          <w:b/>
          <w:bCs/>
          <w:color w:val="67ABDF"/>
          <w:lang w:val="es-ES_tradnl"/>
        </w:rPr>
        <w:t>CONTROL, INFRACCIÓN Y SANCIONES</w:t>
      </w:r>
    </w:p>
    <w:p w14:paraId="3D3EE0C2" w14:textId="77777777" w:rsidR="00CF733C" w:rsidRPr="008B4B40" w:rsidRDefault="00CF733C">
      <w:pPr>
        <w:rPr>
          <w:rFonts w:cstheme="minorHAnsi"/>
          <w:b/>
          <w:bCs/>
          <w:color w:val="67ABDF"/>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8B4B40" w:rsidRPr="008B4B40" w14:paraId="3BEBBE0B" w14:textId="77777777" w:rsidTr="008B4B40">
        <w:tc>
          <w:tcPr>
            <w:tcW w:w="2405" w:type="dxa"/>
          </w:tcPr>
          <w:p w14:paraId="4F9A1220" w14:textId="7FD87DB6" w:rsidR="008B4B40" w:rsidRPr="008B4B40" w:rsidRDefault="008B4B40">
            <w:pPr>
              <w:rPr>
                <w:rFonts w:asciiTheme="majorHAnsi" w:hAnsiTheme="majorHAnsi" w:cstheme="majorHAnsi"/>
              </w:rPr>
            </w:pPr>
            <w:r w:rsidRPr="008B4B40">
              <w:rPr>
                <w:rFonts w:asciiTheme="majorHAnsi" w:hAnsiTheme="majorHAnsi" w:cstheme="majorHAnsi"/>
                <w:noProof/>
              </w:rPr>
              <w:drawing>
                <wp:inline distT="0" distB="0" distL="0" distR="0" wp14:anchorId="2F5BAA3A" wp14:editId="6A9E3754">
                  <wp:extent cx="1139483" cy="1054735"/>
                  <wp:effectExtent l="0" t="0" r="0" b="0"/>
                  <wp:docPr id="10959730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73039" name=""/>
                          <pic:cNvPicPr/>
                        </pic:nvPicPr>
                        <pic:blipFill rotWithShape="1">
                          <a:blip r:embed="rId11"/>
                          <a:srcRect l="17887" t="18479" r="19120"/>
                          <a:stretch/>
                        </pic:blipFill>
                        <pic:spPr bwMode="auto">
                          <a:xfrm>
                            <a:off x="0" y="0"/>
                            <a:ext cx="1156819" cy="1070782"/>
                          </a:xfrm>
                          <a:prstGeom prst="rect">
                            <a:avLst/>
                          </a:prstGeom>
                          <a:ln>
                            <a:noFill/>
                          </a:ln>
                          <a:extLst>
                            <a:ext uri="{53640926-AAD7-44D8-BBD7-CCE9431645EC}">
                              <a14:shadowObscured xmlns:a14="http://schemas.microsoft.com/office/drawing/2010/main"/>
                            </a:ext>
                          </a:extLst>
                        </pic:spPr>
                      </pic:pic>
                    </a:graphicData>
                  </a:graphic>
                </wp:inline>
              </w:drawing>
            </w:r>
          </w:p>
        </w:tc>
        <w:tc>
          <w:tcPr>
            <w:tcW w:w="6423" w:type="dxa"/>
          </w:tcPr>
          <w:p w14:paraId="4685D9AA" w14:textId="3D1C8B7B" w:rsidR="008B4B40" w:rsidRPr="008B4B40" w:rsidRDefault="00CF733C" w:rsidP="00CF733C">
            <w:pPr>
              <w:jc w:val="both"/>
              <w:rPr>
                <w:rFonts w:asciiTheme="majorHAnsi" w:hAnsiTheme="majorHAnsi" w:cstheme="majorHAnsi"/>
              </w:rPr>
            </w:pPr>
            <w:r>
              <w:rPr>
                <w:rFonts w:asciiTheme="majorHAnsi" w:hAnsiTheme="majorHAnsi" w:cstheme="majorHAnsi"/>
                <w:lang w:val="es-ES_tradnl"/>
              </w:rPr>
              <w:t>Se perciben avances en medidas vinculadas a corporaciones municipales, pero es necesario vigilar de cerca las medidas de control general para todas las instituciones privadas que no persiguen lucro.</w:t>
            </w:r>
          </w:p>
          <w:p w14:paraId="64B62D10" w14:textId="77777777" w:rsidR="008B4B40" w:rsidRPr="008B4B40" w:rsidRDefault="008B4B40">
            <w:pPr>
              <w:rPr>
                <w:rFonts w:asciiTheme="majorHAnsi" w:hAnsiTheme="majorHAnsi" w:cstheme="majorHAnsi"/>
              </w:rPr>
            </w:pPr>
          </w:p>
        </w:tc>
      </w:tr>
    </w:tbl>
    <w:p w14:paraId="6D886B44" w14:textId="77777777" w:rsidR="008B4B40" w:rsidRDefault="008B4B40"/>
    <w:tbl>
      <w:tblPr>
        <w:tblW w:w="8828" w:type="dxa"/>
        <w:tblBorders>
          <w:top w:val="single" w:sz="4" w:space="0" w:color="67ABDF"/>
          <w:left w:val="single" w:sz="4" w:space="0" w:color="67ABDF"/>
          <w:bottom w:val="single" w:sz="4" w:space="0" w:color="67ABDF"/>
          <w:right w:val="single" w:sz="4" w:space="0" w:color="67ABDF"/>
          <w:insideH w:val="single" w:sz="4" w:space="0" w:color="67ABDF"/>
          <w:insideV w:val="single" w:sz="4" w:space="0" w:color="67ABDF"/>
        </w:tblBorders>
        <w:tblCellMar>
          <w:left w:w="70" w:type="dxa"/>
          <w:right w:w="70" w:type="dxa"/>
        </w:tblCellMar>
        <w:tblLook w:val="04A0" w:firstRow="1" w:lastRow="0" w:firstColumn="1" w:lastColumn="0" w:noHBand="0" w:noVBand="1"/>
      </w:tblPr>
      <w:tblGrid>
        <w:gridCol w:w="715"/>
        <w:gridCol w:w="1690"/>
        <w:gridCol w:w="3616"/>
        <w:gridCol w:w="787"/>
        <w:gridCol w:w="795"/>
        <w:gridCol w:w="1225"/>
      </w:tblGrid>
      <w:tr w:rsidR="00F75D56" w:rsidRPr="00D41C2E" w14:paraId="1D30C22E" w14:textId="0E57DA73" w:rsidTr="007331CF">
        <w:trPr>
          <w:trHeight w:val="288"/>
        </w:trPr>
        <w:tc>
          <w:tcPr>
            <w:tcW w:w="715" w:type="dxa"/>
            <w:shd w:val="clear" w:color="auto" w:fill="67ABDF"/>
            <w:noWrap/>
            <w:vAlign w:val="center"/>
          </w:tcPr>
          <w:p w14:paraId="7E6C8B82" w14:textId="1049835E" w:rsidR="00F75D56" w:rsidRPr="00D41C2E" w:rsidRDefault="00F75D56" w:rsidP="00F75D56">
            <w:pPr>
              <w:jc w:val="center"/>
              <w:rPr>
                <w:rFonts w:asciiTheme="majorHAnsi" w:eastAsia="Times New Roman" w:hAnsiTheme="majorHAnsi" w:cstheme="majorHAnsi"/>
                <w:color w:val="000000"/>
                <w:sz w:val="18"/>
                <w:szCs w:val="18"/>
                <w:lang w:eastAsia="es-MX"/>
              </w:rPr>
            </w:pPr>
            <w:proofErr w:type="spellStart"/>
            <w:r w:rsidRPr="00D41C2E">
              <w:rPr>
                <w:rFonts w:asciiTheme="majorHAnsi" w:eastAsia="Times New Roman" w:hAnsiTheme="majorHAnsi" w:cstheme="majorHAnsi"/>
                <w:b/>
                <w:bCs/>
                <w:color w:val="FFFFFF"/>
                <w:sz w:val="16"/>
                <w:szCs w:val="16"/>
                <w:lang w:eastAsia="es-MX"/>
              </w:rPr>
              <w:t>N°</w:t>
            </w:r>
            <w:proofErr w:type="spellEnd"/>
            <w:r w:rsidRPr="00D41C2E">
              <w:rPr>
                <w:rFonts w:asciiTheme="majorHAnsi" w:eastAsia="Times New Roman" w:hAnsiTheme="majorHAnsi" w:cstheme="majorHAnsi"/>
                <w:b/>
                <w:bCs/>
                <w:color w:val="FFFFFF"/>
                <w:sz w:val="16"/>
                <w:szCs w:val="16"/>
                <w:lang w:eastAsia="es-MX"/>
              </w:rPr>
              <w:t xml:space="preserve"> </w:t>
            </w:r>
          </w:p>
        </w:tc>
        <w:tc>
          <w:tcPr>
            <w:tcW w:w="1690" w:type="dxa"/>
            <w:shd w:val="clear" w:color="auto" w:fill="67ABDF"/>
            <w:vAlign w:val="center"/>
          </w:tcPr>
          <w:p w14:paraId="2530EF31" w14:textId="6F417407" w:rsidR="00F75D56" w:rsidRPr="00D41C2E" w:rsidRDefault="00F75D56" w:rsidP="00F75D56">
            <w:pP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MEDIDA</w:t>
            </w:r>
          </w:p>
        </w:tc>
        <w:tc>
          <w:tcPr>
            <w:tcW w:w="3827" w:type="dxa"/>
            <w:shd w:val="clear" w:color="auto" w:fill="67ABDF"/>
            <w:vAlign w:val="center"/>
          </w:tcPr>
          <w:p w14:paraId="6154FE7E" w14:textId="3D0D2A4D" w:rsidR="00F75D56" w:rsidRPr="00D41C2E" w:rsidRDefault="00F75D56" w:rsidP="00F75D56">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FFFFFF"/>
                <w:sz w:val="16"/>
                <w:szCs w:val="16"/>
                <w:lang w:eastAsia="es-MX"/>
              </w:rPr>
              <w:t>ACCIÓN</w:t>
            </w:r>
          </w:p>
        </w:tc>
        <w:tc>
          <w:tcPr>
            <w:tcW w:w="567" w:type="dxa"/>
            <w:shd w:val="clear" w:color="auto" w:fill="67ABDF"/>
            <w:noWrap/>
            <w:vAlign w:val="center"/>
          </w:tcPr>
          <w:p w14:paraId="14B423DC" w14:textId="3D1CAC42"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FFFFFF"/>
                <w:sz w:val="16"/>
                <w:szCs w:val="16"/>
                <w:lang w:eastAsia="es-MX"/>
              </w:rPr>
              <w:t>PLAZO </w:t>
            </w:r>
          </w:p>
        </w:tc>
        <w:tc>
          <w:tcPr>
            <w:tcW w:w="804" w:type="dxa"/>
            <w:shd w:val="clear" w:color="auto" w:fill="67ABDF"/>
            <w:vAlign w:val="center"/>
          </w:tcPr>
          <w:p w14:paraId="5DD05A9B" w14:textId="7B2604BD"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AVANCE</w:t>
            </w:r>
          </w:p>
        </w:tc>
        <w:tc>
          <w:tcPr>
            <w:tcW w:w="1225" w:type="dxa"/>
            <w:shd w:val="clear" w:color="auto" w:fill="67ABDF"/>
          </w:tcPr>
          <w:p w14:paraId="5B641F01" w14:textId="7C90CA4E" w:rsidR="00F75D56" w:rsidRDefault="00F75D56" w:rsidP="00F75D56">
            <w:pPr>
              <w:jc w:val="center"/>
              <w:rPr>
                <w:rFonts w:asciiTheme="majorHAnsi" w:eastAsia="Times New Roman" w:hAnsiTheme="majorHAnsi" w:cstheme="majorHAnsi"/>
                <w:b/>
                <w:bCs/>
                <w:color w:val="FFFFFF"/>
                <w:sz w:val="16"/>
                <w:szCs w:val="16"/>
                <w:lang w:eastAsia="es-MX"/>
              </w:rPr>
            </w:pPr>
            <w:r w:rsidRPr="00FF08D7">
              <w:rPr>
                <w:rFonts w:asciiTheme="majorHAnsi" w:eastAsia="Times New Roman" w:hAnsiTheme="majorHAnsi" w:cstheme="majorHAnsi"/>
                <w:b/>
                <w:bCs/>
                <w:color w:val="FFFFFF"/>
                <w:sz w:val="16"/>
                <w:szCs w:val="16"/>
                <w:lang w:eastAsia="es-MX"/>
              </w:rPr>
              <w:t>CUMPLIMIENTO</w:t>
            </w:r>
          </w:p>
        </w:tc>
      </w:tr>
      <w:tr w:rsidR="00F75D56" w:rsidRPr="00D41C2E" w14:paraId="05D9682D" w14:textId="2B06502B" w:rsidTr="007331CF">
        <w:trPr>
          <w:trHeight w:val="1020"/>
        </w:trPr>
        <w:tc>
          <w:tcPr>
            <w:tcW w:w="715" w:type="dxa"/>
            <w:shd w:val="clear" w:color="auto" w:fill="auto"/>
            <w:noWrap/>
            <w:vAlign w:val="center"/>
            <w:hideMark/>
          </w:tcPr>
          <w:p w14:paraId="1C6C2F24"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31</w:t>
            </w:r>
          </w:p>
        </w:tc>
        <w:tc>
          <w:tcPr>
            <w:tcW w:w="1690" w:type="dxa"/>
            <w:shd w:val="clear" w:color="auto" w:fill="auto"/>
            <w:vAlign w:val="center"/>
            <w:hideMark/>
          </w:tcPr>
          <w:p w14:paraId="622D89A4"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Modificación de la Ley Orgánica de la Contraloría General de la República para que ésta controle a IPSFL receptoras de fondos públicos respecto de tales fondos públicos</w:t>
            </w:r>
          </w:p>
        </w:tc>
        <w:tc>
          <w:tcPr>
            <w:tcW w:w="3827" w:type="dxa"/>
            <w:shd w:val="clear" w:color="auto" w:fill="auto"/>
            <w:vAlign w:val="center"/>
            <w:hideMark/>
          </w:tcPr>
          <w:p w14:paraId="75AE4C27"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Esto ya se recoge hoy. Se reforzará en la Ley Orgánica de la CGR para hacerlo explícito.</w:t>
            </w:r>
          </w:p>
        </w:tc>
        <w:tc>
          <w:tcPr>
            <w:tcW w:w="567" w:type="dxa"/>
            <w:shd w:val="clear" w:color="auto" w:fill="auto"/>
            <w:noWrap/>
            <w:vAlign w:val="center"/>
            <w:hideMark/>
          </w:tcPr>
          <w:p w14:paraId="3AAC7A37"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3A43F9A3" w14:textId="3F6D8661"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2C3E3D31" w14:textId="77960123"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F75D56" w:rsidRPr="00D41C2E" w14:paraId="3E56E469" w14:textId="6ABE43C9" w:rsidTr="007331CF">
        <w:trPr>
          <w:trHeight w:val="1360"/>
        </w:trPr>
        <w:tc>
          <w:tcPr>
            <w:tcW w:w="715" w:type="dxa"/>
            <w:shd w:val="clear" w:color="auto" w:fill="auto"/>
            <w:noWrap/>
            <w:vAlign w:val="center"/>
            <w:hideMark/>
          </w:tcPr>
          <w:p w14:paraId="007E31CF"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32</w:t>
            </w:r>
          </w:p>
        </w:tc>
        <w:tc>
          <w:tcPr>
            <w:tcW w:w="1690" w:type="dxa"/>
            <w:shd w:val="clear" w:color="auto" w:fill="auto"/>
            <w:vAlign w:val="center"/>
            <w:hideMark/>
          </w:tcPr>
          <w:p w14:paraId="159F783F"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Establecer un catálogo de sanciones proporcionales adicionales a la cancelación  de la personalidad jurídica a IPSFL</w:t>
            </w:r>
          </w:p>
        </w:tc>
        <w:tc>
          <w:tcPr>
            <w:tcW w:w="3827" w:type="dxa"/>
            <w:shd w:val="clear" w:color="auto" w:fill="auto"/>
            <w:vAlign w:val="center"/>
            <w:hideMark/>
          </w:tcPr>
          <w:p w14:paraId="7904A09F"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Estudiaremos la presentación de una Ley General de Transferencias que contemple la graduación de las sanciones aplicables a las IPSFL.</w:t>
            </w:r>
          </w:p>
        </w:tc>
        <w:tc>
          <w:tcPr>
            <w:tcW w:w="567" w:type="dxa"/>
            <w:shd w:val="clear" w:color="auto" w:fill="auto"/>
            <w:noWrap/>
            <w:vAlign w:val="center"/>
            <w:hideMark/>
          </w:tcPr>
          <w:p w14:paraId="4192F893"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35F26FC6" w14:textId="67C902EA"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203B5EB2" w14:textId="3A3753C8"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F75D56" w:rsidRPr="00D41C2E" w14:paraId="57F6F8F1" w14:textId="20ACA2FD" w:rsidTr="007331CF">
        <w:trPr>
          <w:trHeight w:val="1020"/>
        </w:trPr>
        <w:tc>
          <w:tcPr>
            <w:tcW w:w="715" w:type="dxa"/>
            <w:shd w:val="clear" w:color="auto" w:fill="auto"/>
            <w:noWrap/>
            <w:vAlign w:val="center"/>
            <w:hideMark/>
          </w:tcPr>
          <w:p w14:paraId="26857526"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33</w:t>
            </w:r>
          </w:p>
        </w:tc>
        <w:tc>
          <w:tcPr>
            <w:tcW w:w="1690" w:type="dxa"/>
            <w:shd w:val="clear" w:color="auto" w:fill="auto"/>
            <w:vAlign w:val="center"/>
            <w:hideMark/>
          </w:tcPr>
          <w:p w14:paraId="41D37171"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 xml:space="preserve">Establecer normas de protección del trabajador de una IPSFL que conoce y denuncia posibles ilícitos respecto de fondos públicos, así como recompensa a </w:t>
            </w:r>
            <w:r w:rsidRPr="00D41C2E">
              <w:rPr>
                <w:rFonts w:asciiTheme="majorHAnsi" w:eastAsia="Times New Roman" w:hAnsiTheme="majorHAnsi" w:cstheme="majorHAnsi"/>
                <w:color w:val="000000"/>
                <w:sz w:val="18"/>
                <w:szCs w:val="18"/>
                <w:lang w:eastAsia="es-MX"/>
              </w:rPr>
              <w:lastRenderedPageBreak/>
              <w:t>quien denuncie irregularidades</w:t>
            </w:r>
          </w:p>
        </w:tc>
        <w:tc>
          <w:tcPr>
            <w:tcW w:w="3827" w:type="dxa"/>
            <w:shd w:val="clear" w:color="auto" w:fill="auto"/>
            <w:vAlign w:val="center"/>
            <w:hideMark/>
          </w:tcPr>
          <w:p w14:paraId="7A019369"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lastRenderedPageBreak/>
              <w:t>Medida legislativa.</w:t>
            </w:r>
            <w:r w:rsidRPr="00D41C2E">
              <w:rPr>
                <w:rFonts w:asciiTheme="majorHAnsi" w:eastAsia="Times New Roman" w:hAnsiTheme="majorHAnsi" w:cstheme="majorHAnsi"/>
                <w:color w:val="000000"/>
                <w:sz w:val="18"/>
                <w:szCs w:val="18"/>
                <w:lang w:eastAsia="es-MX"/>
              </w:rPr>
              <w:br/>
              <w:t>Se trabajará en un proyecto de ley de protección de denunciantes del sector privado.</w:t>
            </w:r>
          </w:p>
        </w:tc>
        <w:tc>
          <w:tcPr>
            <w:tcW w:w="567" w:type="dxa"/>
            <w:shd w:val="clear" w:color="auto" w:fill="auto"/>
            <w:noWrap/>
            <w:vAlign w:val="center"/>
            <w:hideMark/>
          </w:tcPr>
          <w:p w14:paraId="2981145D"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72BAC2D2" w14:textId="2581B662"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19F592F6" w14:textId="4A4E559D"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8506AD" w:rsidRPr="00D41C2E" w14:paraId="51823CC1" w14:textId="7D13B30B" w:rsidTr="007331CF">
        <w:trPr>
          <w:trHeight w:val="917"/>
        </w:trPr>
        <w:tc>
          <w:tcPr>
            <w:tcW w:w="715" w:type="dxa"/>
            <w:vMerge w:val="restart"/>
            <w:shd w:val="clear" w:color="auto" w:fill="auto"/>
            <w:noWrap/>
            <w:vAlign w:val="center"/>
            <w:hideMark/>
          </w:tcPr>
          <w:p w14:paraId="38B9287E" w14:textId="77777777" w:rsidR="008506AD" w:rsidRPr="00D41C2E" w:rsidRDefault="008506AD"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34</w:t>
            </w:r>
          </w:p>
        </w:tc>
        <w:tc>
          <w:tcPr>
            <w:tcW w:w="1690" w:type="dxa"/>
            <w:vMerge w:val="restart"/>
            <w:shd w:val="clear" w:color="auto" w:fill="auto"/>
            <w:vAlign w:val="center"/>
            <w:hideMark/>
          </w:tcPr>
          <w:p w14:paraId="3D3F07C3" w14:textId="77777777" w:rsidR="008506AD" w:rsidRPr="00D41C2E" w:rsidRDefault="008506AD"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Modificar reglas para la constitución de corporaciones o fundaciones estatales</w:t>
            </w:r>
          </w:p>
        </w:tc>
        <w:tc>
          <w:tcPr>
            <w:tcW w:w="3827" w:type="dxa"/>
            <w:shd w:val="clear" w:color="auto" w:fill="auto"/>
            <w:vAlign w:val="center"/>
            <w:hideMark/>
          </w:tcPr>
          <w:p w14:paraId="0F94EFF5" w14:textId="77777777" w:rsidR="008506AD" w:rsidRPr="00D41C2E" w:rsidRDefault="008506AD"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Indicaciones en el proyecto de ley de integridad en municipios que se tramita en la Comisión de Gobierno Interior de la Cámara.</w:t>
            </w:r>
          </w:p>
        </w:tc>
        <w:tc>
          <w:tcPr>
            <w:tcW w:w="567" w:type="dxa"/>
            <w:shd w:val="clear" w:color="auto" w:fill="auto"/>
            <w:noWrap/>
            <w:vAlign w:val="center"/>
            <w:hideMark/>
          </w:tcPr>
          <w:p w14:paraId="5FC6323D" w14:textId="77777777" w:rsidR="008506AD" w:rsidRPr="00D41C2E" w:rsidRDefault="008506AD"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461672FD" w14:textId="7C3E8C3D"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val="restart"/>
            <w:vAlign w:val="center"/>
          </w:tcPr>
          <w:p w14:paraId="77C8985E" w14:textId="50B6819E"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8506AD" w:rsidRPr="00D41C2E" w14:paraId="6BEB911A" w14:textId="658A333A" w:rsidTr="007331CF">
        <w:trPr>
          <w:trHeight w:val="805"/>
        </w:trPr>
        <w:tc>
          <w:tcPr>
            <w:tcW w:w="715" w:type="dxa"/>
            <w:vMerge/>
            <w:shd w:val="clear" w:color="auto" w:fill="auto"/>
            <w:noWrap/>
            <w:vAlign w:val="center"/>
            <w:hideMark/>
          </w:tcPr>
          <w:p w14:paraId="0C6195DA" w14:textId="406D65C8" w:rsidR="008506AD" w:rsidRPr="00D41C2E" w:rsidRDefault="008506AD" w:rsidP="002F7611">
            <w:pPr>
              <w:jc w:val="center"/>
              <w:rPr>
                <w:rFonts w:asciiTheme="majorHAnsi" w:eastAsia="Times New Roman" w:hAnsiTheme="majorHAnsi" w:cstheme="majorHAnsi"/>
                <w:color w:val="000000"/>
                <w:sz w:val="18"/>
                <w:szCs w:val="18"/>
                <w:lang w:eastAsia="es-MX"/>
              </w:rPr>
            </w:pPr>
          </w:p>
        </w:tc>
        <w:tc>
          <w:tcPr>
            <w:tcW w:w="1690" w:type="dxa"/>
            <w:vMerge/>
            <w:shd w:val="clear" w:color="auto" w:fill="auto"/>
            <w:vAlign w:val="center"/>
            <w:hideMark/>
          </w:tcPr>
          <w:p w14:paraId="268ACBC5" w14:textId="47A712CD" w:rsidR="008506AD" w:rsidRPr="00D41C2E" w:rsidRDefault="008506AD" w:rsidP="002F7611">
            <w:pPr>
              <w:rPr>
                <w:rFonts w:asciiTheme="majorHAnsi" w:eastAsia="Times New Roman" w:hAnsiTheme="majorHAnsi" w:cstheme="majorHAnsi"/>
                <w:color w:val="000000"/>
                <w:sz w:val="18"/>
                <w:szCs w:val="18"/>
                <w:lang w:eastAsia="es-MX"/>
              </w:rPr>
            </w:pPr>
          </w:p>
        </w:tc>
        <w:tc>
          <w:tcPr>
            <w:tcW w:w="3827" w:type="dxa"/>
            <w:shd w:val="clear" w:color="auto" w:fill="auto"/>
            <w:vAlign w:val="center"/>
            <w:hideMark/>
          </w:tcPr>
          <w:p w14:paraId="6EE16216" w14:textId="77777777" w:rsidR="008506AD" w:rsidRPr="00D41C2E" w:rsidRDefault="008506AD"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b/>
                <w:bCs/>
                <w:color w:val="000000"/>
                <w:sz w:val="18"/>
                <w:szCs w:val="18"/>
                <w:lang w:eastAsia="es-MX"/>
              </w:rPr>
              <w:br/>
            </w:r>
            <w:r w:rsidRPr="00D41C2E">
              <w:rPr>
                <w:rFonts w:asciiTheme="majorHAnsi" w:eastAsia="Times New Roman" w:hAnsiTheme="majorHAnsi" w:cstheme="majorHAnsi"/>
                <w:color w:val="000000"/>
                <w:sz w:val="18"/>
                <w:szCs w:val="18"/>
                <w:lang w:eastAsia="es-MX"/>
              </w:rPr>
              <w:t>Se establecerán medidas de mayor control para Gobiernos Regionales.</w:t>
            </w:r>
          </w:p>
        </w:tc>
        <w:tc>
          <w:tcPr>
            <w:tcW w:w="567" w:type="dxa"/>
            <w:shd w:val="clear" w:color="auto" w:fill="auto"/>
            <w:noWrap/>
            <w:vAlign w:val="center"/>
            <w:hideMark/>
          </w:tcPr>
          <w:p w14:paraId="577CDB07" w14:textId="77777777" w:rsidR="008506AD" w:rsidRPr="00D41C2E" w:rsidRDefault="008506AD"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2D58E74C" w14:textId="0696FAAC"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tcPr>
          <w:p w14:paraId="01DC1343" w14:textId="77777777" w:rsidR="008506AD" w:rsidRPr="008506AD" w:rsidRDefault="008506AD" w:rsidP="002F7611">
            <w:pPr>
              <w:jc w:val="center"/>
              <w:rPr>
                <w:rFonts w:asciiTheme="majorHAnsi" w:eastAsia="Times New Roman" w:hAnsiTheme="majorHAnsi" w:cstheme="majorHAnsi"/>
                <w:b/>
                <w:bCs/>
                <w:color w:val="000000"/>
                <w:sz w:val="18"/>
                <w:szCs w:val="18"/>
                <w:lang w:eastAsia="es-MX"/>
              </w:rPr>
            </w:pPr>
          </w:p>
        </w:tc>
      </w:tr>
      <w:tr w:rsidR="00F75D56" w:rsidRPr="00D41C2E" w14:paraId="3EDB361B" w14:textId="72DBA6FC" w:rsidTr="007331CF">
        <w:trPr>
          <w:trHeight w:val="1020"/>
        </w:trPr>
        <w:tc>
          <w:tcPr>
            <w:tcW w:w="715" w:type="dxa"/>
            <w:shd w:val="clear" w:color="auto" w:fill="auto"/>
            <w:noWrap/>
            <w:vAlign w:val="center"/>
            <w:hideMark/>
          </w:tcPr>
          <w:p w14:paraId="472A926C"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35</w:t>
            </w:r>
          </w:p>
        </w:tc>
        <w:tc>
          <w:tcPr>
            <w:tcW w:w="1690" w:type="dxa"/>
            <w:shd w:val="clear" w:color="auto" w:fill="auto"/>
            <w:vAlign w:val="center"/>
            <w:hideMark/>
          </w:tcPr>
          <w:p w14:paraId="018D018B"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Fortalecer el Departamento de Personas Jurídicas del Ministerio de Justicia y Derechos Humanos</w:t>
            </w:r>
          </w:p>
        </w:tc>
        <w:tc>
          <w:tcPr>
            <w:tcW w:w="3827" w:type="dxa"/>
            <w:shd w:val="clear" w:color="auto" w:fill="auto"/>
            <w:vAlign w:val="center"/>
            <w:hideMark/>
          </w:tcPr>
          <w:p w14:paraId="7EF44C1D"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Se oficiará al Ministerio de Hacienda y al Ministerio de Justicia y Derechos Humanos para los fines pertinentes.</w:t>
            </w:r>
          </w:p>
        </w:tc>
        <w:tc>
          <w:tcPr>
            <w:tcW w:w="567" w:type="dxa"/>
            <w:shd w:val="clear" w:color="auto" w:fill="auto"/>
            <w:noWrap/>
            <w:vAlign w:val="center"/>
            <w:hideMark/>
          </w:tcPr>
          <w:p w14:paraId="7D18E377"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20476CFD" w14:textId="691B4B5C"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6FA213D9" w14:textId="5726EF13"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F75D56" w:rsidRPr="00D41C2E" w14:paraId="4B2578DC" w14:textId="37E057CE" w:rsidTr="007331CF">
        <w:trPr>
          <w:trHeight w:val="1585"/>
        </w:trPr>
        <w:tc>
          <w:tcPr>
            <w:tcW w:w="715" w:type="dxa"/>
            <w:shd w:val="clear" w:color="auto" w:fill="auto"/>
            <w:noWrap/>
            <w:vAlign w:val="center"/>
            <w:hideMark/>
          </w:tcPr>
          <w:p w14:paraId="7AB7769B"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36</w:t>
            </w:r>
          </w:p>
        </w:tc>
        <w:tc>
          <w:tcPr>
            <w:tcW w:w="1690" w:type="dxa"/>
            <w:shd w:val="clear" w:color="auto" w:fill="auto"/>
            <w:vAlign w:val="center"/>
            <w:hideMark/>
          </w:tcPr>
          <w:p w14:paraId="2F1A7F3C"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Eliminar el rango de 7000 UTM de la inversión, previsto en la Ley de Gobiernos Regionales</w:t>
            </w:r>
          </w:p>
        </w:tc>
        <w:tc>
          <w:tcPr>
            <w:tcW w:w="3827" w:type="dxa"/>
            <w:shd w:val="clear" w:color="auto" w:fill="auto"/>
            <w:vAlign w:val="center"/>
            <w:hideMark/>
          </w:tcPr>
          <w:p w14:paraId="7C8F10E2" w14:textId="77777777" w:rsidR="00F75D56" w:rsidRPr="00D41C2E" w:rsidRDefault="00F75D56" w:rsidP="002F7611">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En el marco de la tramitación del proyecto de ley “Regiones más fuertes”, se reducirá el monto de los recursos de los que dispone el Gobierno Regional sin requerir la aprobación del Consejo Regional, con el objetivo de reforzar los controles (de 7000 a 3000 UTM).</w:t>
            </w:r>
          </w:p>
        </w:tc>
        <w:tc>
          <w:tcPr>
            <w:tcW w:w="567" w:type="dxa"/>
            <w:shd w:val="clear" w:color="auto" w:fill="auto"/>
            <w:noWrap/>
            <w:vAlign w:val="center"/>
            <w:hideMark/>
          </w:tcPr>
          <w:p w14:paraId="1787ADDB"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29B5D8F2" w14:textId="149CE806"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75%</w:t>
            </w:r>
          </w:p>
        </w:tc>
        <w:tc>
          <w:tcPr>
            <w:tcW w:w="1225" w:type="dxa"/>
            <w:vAlign w:val="center"/>
          </w:tcPr>
          <w:p w14:paraId="349549EF" w14:textId="7948D50F"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75%</w:t>
            </w:r>
          </w:p>
        </w:tc>
      </w:tr>
      <w:tr w:rsidR="00F75D56" w:rsidRPr="00D41C2E" w14:paraId="035EA531" w14:textId="5E423655" w:rsidTr="007331CF">
        <w:trPr>
          <w:trHeight w:val="411"/>
        </w:trPr>
        <w:tc>
          <w:tcPr>
            <w:tcW w:w="715" w:type="dxa"/>
            <w:shd w:val="clear" w:color="auto" w:fill="auto"/>
            <w:noWrap/>
            <w:vAlign w:val="center"/>
            <w:hideMark/>
          </w:tcPr>
          <w:p w14:paraId="779A62A4"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37</w:t>
            </w:r>
          </w:p>
        </w:tc>
        <w:tc>
          <w:tcPr>
            <w:tcW w:w="1690" w:type="dxa"/>
            <w:shd w:val="clear" w:color="auto" w:fill="auto"/>
            <w:vAlign w:val="center"/>
            <w:hideMark/>
          </w:tcPr>
          <w:p w14:paraId="09824272"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Obligación de Alcaldes/</w:t>
            </w:r>
            <w:proofErr w:type="spellStart"/>
            <w:r w:rsidRPr="00D41C2E">
              <w:rPr>
                <w:rFonts w:asciiTheme="majorHAnsi" w:eastAsia="Times New Roman" w:hAnsiTheme="majorHAnsi" w:cstheme="majorHAnsi"/>
                <w:color w:val="000000"/>
                <w:sz w:val="18"/>
                <w:szCs w:val="18"/>
                <w:lang w:eastAsia="es-MX"/>
              </w:rPr>
              <w:t>sas</w:t>
            </w:r>
            <w:proofErr w:type="spellEnd"/>
            <w:r w:rsidRPr="00D41C2E">
              <w:rPr>
                <w:rFonts w:asciiTheme="majorHAnsi" w:eastAsia="Times New Roman" w:hAnsiTheme="majorHAnsi" w:cstheme="majorHAnsi"/>
                <w:color w:val="000000"/>
                <w:sz w:val="18"/>
                <w:szCs w:val="18"/>
                <w:lang w:eastAsia="es-MX"/>
              </w:rPr>
              <w:t xml:space="preserve"> de informar al Concejo Comunal de transferencias,  proyectos de inversión o iniciativas, independiente del monto. Lo mismo para Gobernadores respecto del CORE</w:t>
            </w:r>
          </w:p>
        </w:tc>
        <w:tc>
          <w:tcPr>
            <w:tcW w:w="3827" w:type="dxa"/>
            <w:shd w:val="clear" w:color="auto" w:fill="auto"/>
            <w:vAlign w:val="center"/>
            <w:hideMark/>
          </w:tcPr>
          <w:p w14:paraId="406B799B" w14:textId="77777777" w:rsidR="00F75D56" w:rsidRPr="00D41C2E" w:rsidRDefault="00F75D56" w:rsidP="002F7611">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Indicaciones en el proyecto de ley de integridad en municipios que se tramita en la Comisión de Gobierno Interior de la Cámara, para fortalecer los mecanismos de control en las corporaciones municipales.</w:t>
            </w:r>
          </w:p>
        </w:tc>
        <w:tc>
          <w:tcPr>
            <w:tcW w:w="567" w:type="dxa"/>
            <w:shd w:val="clear" w:color="auto" w:fill="auto"/>
            <w:noWrap/>
            <w:vAlign w:val="center"/>
            <w:hideMark/>
          </w:tcPr>
          <w:p w14:paraId="7624F883"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6AC24A7F" w14:textId="6FFABBFA"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75%</w:t>
            </w:r>
          </w:p>
        </w:tc>
        <w:tc>
          <w:tcPr>
            <w:tcW w:w="1225" w:type="dxa"/>
            <w:vAlign w:val="center"/>
          </w:tcPr>
          <w:p w14:paraId="2D2B32EC" w14:textId="1CB9F240"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75%</w:t>
            </w:r>
          </w:p>
        </w:tc>
      </w:tr>
      <w:tr w:rsidR="00F75D56" w:rsidRPr="00D41C2E" w14:paraId="22B44E35" w14:textId="6D4D4B9E" w:rsidTr="007331CF">
        <w:trPr>
          <w:trHeight w:val="1805"/>
        </w:trPr>
        <w:tc>
          <w:tcPr>
            <w:tcW w:w="715" w:type="dxa"/>
            <w:shd w:val="clear" w:color="auto" w:fill="auto"/>
            <w:noWrap/>
            <w:vAlign w:val="center"/>
            <w:hideMark/>
          </w:tcPr>
          <w:p w14:paraId="60F3F5FB"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38</w:t>
            </w:r>
          </w:p>
        </w:tc>
        <w:tc>
          <w:tcPr>
            <w:tcW w:w="1690" w:type="dxa"/>
            <w:shd w:val="clear" w:color="auto" w:fill="auto"/>
            <w:vAlign w:val="center"/>
            <w:hideMark/>
          </w:tcPr>
          <w:p w14:paraId="03844CCF" w14:textId="77777777" w:rsidR="00F75D56" w:rsidRPr="00D41C2E" w:rsidRDefault="00F75D56" w:rsidP="008B4B40">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Permitir que Contraloría envíe los antecedentes al Tribunal Electoral Regional de  infracciones de Gobernadores Regionales, y Alcaldes</w:t>
            </w:r>
          </w:p>
        </w:tc>
        <w:tc>
          <w:tcPr>
            <w:tcW w:w="3827" w:type="dxa"/>
            <w:shd w:val="clear" w:color="auto" w:fill="auto"/>
            <w:vAlign w:val="center"/>
            <w:hideMark/>
          </w:tcPr>
          <w:p w14:paraId="199F2AAB"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evaluará su incorporación como indicación en el proyecto de ley de integridad en municipios que se tramita en la Comisión de Gobierno Interior de la Cámara.</w:t>
            </w:r>
            <w:r w:rsidRPr="00D41C2E">
              <w:rPr>
                <w:rFonts w:asciiTheme="majorHAnsi" w:eastAsia="Times New Roman" w:hAnsiTheme="majorHAnsi" w:cstheme="majorHAnsi"/>
                <w:color w:val="000000"/>
                <w:sz w:val="18"/>
                <w:szCs w:val="18"/>
                <w:lang w:eastAsia="es-MX"/>
              </w:rPr>
              <w:br/>
              <w:t>Se evaluará su incorporación como indicación en el proyecto de ley de regiones más fuertes.</w:t>
            </w:r>
          </w:p>
        </w:tc>
        <w:tc>
          <w:tcPr>
            <w:tcW w:w="567" w:type="dxa"/>
            <w:shd w:val="clear" w:color="auto" w:fill="auto"/>
            <w:noWrap/>
            <w:vAlign w:val="center"/>
            <w:hideMark/>
          </w:tcPr>
          <w:p w14:paraId="0A34B299"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2C100BD6" w14:textId="06C50842"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495ADBF7" w14:textId="67E7E447"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8506AD" w:rsidRPr="00D41C2E" w14:paraId="1B972CC7" w14:textId="3DB57E67" w:rsidTr="007331CF">
        <w:trPr>
          <w:trHeight w:val="583"/>
        </w:trPr>
        <w:tc>
          <w:tcPr>
            <w:tcW w:w="715" w:type="dxa"/>
            <w:vMerge w:val="restart"/>
            <w:shd w:val="clear" w:color="auto" w:fill="auto"/>
            <w:noWrap/>
            <w:vAlign w:val="center"/>
            <w:hideMark/>
          </w:tcPr>
          <w:p w14:paraId="7A290AB0" w14:textId="77777777" w:rsidR="008506AD" w:rsidRPr="00D41C2E" w:rsidRDefault="008506AD"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39</w:t>
            </w:r>
          </w:p>
        </w:tc>
        <w:tc>
          <w:tcPr>
            <w:tcW w:w="1690" w:type="dxa"/>
            <w:vMerge w:val="restart"/>
            <w:shd w:val="clear" w:color="auto" w:fill="auto"/>
            <w:vAlign w:val="center"/>
            <w:hideMark/>
          </w:tcPr>
          <w:p w14:paraId="7A38937B" w14:textId="77777777" w:rsidR="008506AD" w:rsidRPr="00D41C2E" w:rsidRDefault="008506AD" w:rsidP="008B4B40">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 xml:space="preserve">Fortalecimiento de control interno y auditoría interna de </w:t>
            </w:r>
            <w:r w:rsidRPr="00D41C2E">
              <w:rPr>
                <w:rFonts w:asciiTheme="majorHAnsi" w:eastAsia="Times New Roman" w:hAnsiTheme="majorHAnsi" w:cstheme="majorHAnsi"/>
                <w:color w:val="000000"/>
                <w:sz w:val="18"/>
                <w:szCs w:val="18"/>
                <w:lang w:eastAsia="es-MX"/>
              </w:rPr>
              <w:lastRenderedPageBreak/>
              <w:t>IPSFL (sobre 2.000 UTM de fondos del Estado)</w:t>
            </w:r>
          </w:p>
        </w:tc>
        <w:tc>
          <w:tcPr>
            <w:tcW w:w="3827" w:type="dxa"/>
            <w:shd w:val="clear" w:color="auto" w:fill="auto"/>
            <w:vAlign w:val="center"/>
            <w:hideMark/>
          </w:tcPr>
          <w:p w14:paraId="07A3D9DB" w14:textId="77777777" w:rsidR="008506AD" w:rsidRPr="00D41C2E" w:rsidRDefault="008506AD"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lastRenderedPageBreak/>
              <w:t>Medida administrativa.</w:t>
            </w:r>
            <w:r w:rsidRPr="00D41C2E">
              <w:rPr>
                <w:rFonts w:asciiTheme="majorHAnsi" w:eastAsia="Times New Roman" w:hAnsiTheme="majorHAnsi" w:cstheme="majorHAnsi"/>
                <w:color w:val="000000"/>
                <w:sz w:val="18"/>
                <w:szCs w:val="18"/>
                <w:lang w:eastAsia="es-MX"/>
              </w:rPr>
              <w:br/>
              <w:t>Reducir resolución del Ministerio de Justicia y Derechos Humanos.</w:t>
            </w:r>
          </w:p>
        </w:tc>
        <w:tc>
          <w:tcPr>
            <w:tcW w:w="567" w:type="dxa"/>
            <w:shd w:val="clear" w:color="auto" w:fill="auto"/>
            <w:noWrap/>
            <w:vAlign w:val="center"/>
            <w:hideMark/>
          </w:tcPr>
          <w:p w14:paraId="33E96367" w14:textId="77777777" w:rsidR="008506AD" w:rsidRPr="00D41C2E" w:rsidRDefault="008506AD"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4919FE4E" w14:textId="0A546B59"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val="restart"/>
            <w:vAlign w:val="center"/>
          </w:tcPr>
          <w:p w14:paraId="76BF0FEE" w14:textId="142FEB08"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8506AD" w:rsidRPr="00D41C2E" w14:paraId="414130D0" w14:textId="1AD3077D" w:rsidTr="007331CF">
        <w:trPr>
          <w:trHeight w:val="1019"/>
        </w:trPr>
        <w:tc>
          <w:tcPr>
            <w:tcW w:w="715" w:type="dxa"/>
            <w:vMerge/>
            <w:vAlign w:val="center"/>
            <w:hideMark/>
          </w:tcPr>
          <w:p w14:paraId="119D9747" w14:textId="77777777" w:rsidR="008506AD" w:rsidRPr="00D41C2E" w:rsidRDefault="008506AD" w:rsidP="002F7611">
            <w:pPr>
              <w:rPr>
                <w:rFonts w:asciiTheme="majorHAnsi" w:eastAsia="Times New Roman" w:hAnsiTheme="majorHAnsi" w:cstheme="majorHAnsi"/>
                <w:color w:val="000000"/>
                <w:sz w:val="18"/>
                <w:szCs w:val="18"/>
                <w:lang w:eastAsia="es-MX"/>
              </w:rPr>
            </w:pPr>
          </w:p>
        </w:tc>
        <w:tc>
          <w:tcPr>
            <w:tcW w:w="1690" w:type="dxa"/>
            <w:vMerge/>
            <w:vAlign w:val="center"/>
            <w:hideMark/>
          </w:tcPr>
          <w:p w14:paraId="3F39982C" w14:textId="77777777" w:rsidR="008506AD" w:rsidRPr="00D41C2E" w:rsidRDefault="008506AD" w:rsidP="002F7611">
            <w:pPr>
              <w:rPr>
                <w:rFonts w:asciiTheme="majorHAnsi" w:eastAsia="Times New Roman" w:hAnsiTheme="majorHAnsi" w:cstheme="majorHAnsi"/>
                <w:color w:val="000000"/>
                <w:sz w:val="18"/>
                <w:szCs w:val="18"/>
                <w:lang w:eastAsia="es-MX"/>
              </w:rPr>
            </w:pPr>
          </w:p>
        </w:tc>
        <w:tc>
          <w:tcPr>
            <w:tcW w:w="3827" w:type="dxa"/>
            <w:shd w:val="clear" w:color="auto" w:fill="auto"/>
            <w:vAlign w:val="center"/>
            <w:hideMark/>
          </w:tcPr>
          <w:p w14:paraId="6292F66E" w14:textId="77777777" w:rsidR="008506AD" w:rsidRPr="00D41C2E" w:rsidRDefault="008506AD"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Modificación legal, para exigir códigos de ética y canal de denuncias. Considerarlo para Proyecto de Ley General de Transferencias.</w:t>
            </w:r>
          </w:p>
        </w:tc>
        <w:tc>
          <w:tcPr>
            <w:tcW w:w="567" w:type="dxa"/>
            <w:shd w:val="clear" w:color="auto" w:fill="auto"/>
            <w:noWrap/>
            <w:vAlign w:val="center"/>
            <w:hideMark/>
          </w:tcPr>
          <w:p w14:paraId="3B04C688" w14:textId="77777777" w:rsidR="008506AD" w:rsidRPr="00D41C2E" w:rsidRDefault="008506AD"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2D90B53B" w14:textId="63A6E1C3"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Merge/>
            <w:vAlign w:val="center"/>
          </w:tcPr>
          <w:p w14:paraId="2CD2FAC9" w14:textId="77777777" w:rsidR="008506AD" w:rsidRPr="008506AD" w:rsidRDefault="008506AD" w:rsidP="008506AD">
            <w:pPr>
              <w:jc w:val="center"/>
              <w:rPr>
                <w:rFonts w:asciiTheme="majorHAnsi" w:eastAsia="Times New Roman" w:hAnsiTheme="majorHAnsi" w:cstheme="majorHAnsi"/>
                <w:b/>
                <w:bCs/>
                <w:color w:val="000000"/>
                <w:sz w:val="18"/>
                <w:szCs w:val="18"/>
                <w:lang w:eastAsia="es-MX"/>
              </w:rPr>
            </w:pPr>
          </w:p>
        </w:tc>
      </w:tr>
      <w:tr w:rsidR="00F75D56" w:rsidRPr="00D41C2E" w14:paraId="23B519AE" w14:textId="34EBC996" w:rsidTr="007331CF">
        <w:trPr>
          <w:trHeight w:val="1020"/>
        </w:trPr>
        <w:tc>
          <w:tcPr>
            <w:tcW w:w="715" w:type="dxa"/>
            <w:shd w:val="clear" w:color="auto" w:fill="auto"/>
            <w:noWrap/>
            <w:vAlign w:val="center"/>
            <w:hideMark/>
          </w:tcPr>
          <w:p w14:paraId="7CFA7A7E"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40</w:t>
            </w:r>
          </w:p>
        </w:tc>
        <w:tc>
          <w:tcPr>
            <w:tcW w:w="1690" w:type="dxa"/>
            <w:shd w:val="clear" w:color="auto" w:fill="auto"/>
            <w:vAlign w:val="center"/>
            <w:hideMark/>
          </w:tcPr>
          <w:p w14:paraId="44B4E64F"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Normas de incompatibilidades para relaciones de pareja no formalizadas e hijos en común</w:t>
            </w:r>
          </w:p>
        </w:tc>
        <w:tc>
          <w:tcPr>
            <w:tcW w:w="3827" w:type="dxa"/>
            <w:shd w:val="clear" w:color="auto" w:fill="auto"/>
            <w:vAlign w:val="center"/>
            <w:hideMark/>
          </w:tcPr>
          <w:p w14:paraId="3923CDE1"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recogerá esta medida por medio del proyecto de ley de prevención de conflictos de intereses.</w:t>
            </w:r>
          </w:p>
        </w:tc>
        <w:tc>
          <w:tcPr>
            <w:tcW w:w="567" w:type="dxa"/>
            <w:shd w:val="clear" w:color="auto" w:fill="auto"/>
            <w:noWrap/>
            <w:vAlign w:val="center"/>
            <w:hideMark/>
          </w:tcPr>
          <w:p w14:paraId="2D9E0F13"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Mediano</w:t>
            </w:r>
          </w:p>
        </w:tc>
        <w:tc>
          <w:tcPr>
            <w:tcW w:w="804" w:type="dxa"/>
            <w:vAlign w:val="center"/>
          </w:tcPr>
          <w:p w14:paraId="4F39133A" w14:textId="57C355EE"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54A14DCB" w14:textId="3B0FAE62"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F75D56" w:rsidRPr="00D41C2E" w14:paraId="4696275F" w14:textId="4B323777" w:rsidTr="007331CF">
        <w:trPr>
          <w:trHeight w:val="664"/>
        </w:trPr>
        <w:tc>
          <w:tcPr>
            <w:tcW w:w="715" w:type="dxa"/>
            <w:shd w:val="clear" w:color="auto" w:fill="auto"/>
            <w:noWrap/>
            <w:vAlign w:val="center"/>
            <w:hideMark/>
          </w:tcPr>
          <w:p w14:paraId="75A6F084"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41</w:t>
            </w:r>
          </w:p>
        </w:tc>
        <w:tc>
          <w:tcPr>
            <w:tcW w:w="1690" w:type="dxa"/>
            <w:shd w:val="clear" w:color="auto" w:fill="auto"/>
            <w:noWrap/>
            <w:vAlign w:val="center"/>
            <w:hideMark/>
          </w:tcPr>
          <w:p w14:paraId="7ECEF7AA"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 xml:space="preserve">Fortalecimiento y mayor autonomía de la Auditoría Interna </w:t>
            </w:r>
          </w:p>
        </w:tc>
        <w:tc>
          <w:tcPr>
            <w:tcW w:w="3827" w:type="dxa"/>
            <w:shd w:val="clear" w:color="auto" w:fill="auto"/>
            <w:vAlign w:val="center"/>
            <w:hideMark/>
          </w:tcPr>
          <w:p w14:paraId="509B59F7" w14:textId="77777777" w:rsidR="00F75D56" w:rsidRPr="00D41C2E" w:rsidRDefault="00F75D56" w:rsidP="002F7611">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presentará un nuevo proyecto de ley que regule el CAIGG.</w:t>
            </w:r>
          </w:p>
        </w:tc>
        <w:tc>
          <w:tcPr>
            <w:tcW w:w="567" w:type="dxa"/>
            <w:shd w:val="clear" w:color="auto" w:fill="auto"/>
            <w:noWrap/>
            <w:vAlign w:val="center"/>
            <w:hideMark/>
          </w:tcPr>
          <w:p w14:paraId="72D73EEE" w14:textId="77777777" w:rsidR="00F75D56" w:rsidRPr="00D41C2E" w:rsidRDefault="00F75D56" w:rsidP="002F7611">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2689DE03" w14:textId="4791D9E8" w:rsidR="00F75D56"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50%</w:t>
            </w:r>
          </w:p>
        </w:tc>
        <w:tc>
          <w:tcPr>
            <w:tcW w:w="1225" w:type="dxa"/>
            <w:vAlign w:val="center"/>
          </w:tcPr>
          <w:p w14:paraId="6086BE73" w14:textId="34234FBB" w:rsidR="00F75D56"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50%</w:t>
            </w:r>
          </w:p>
        </w:tc>
      </w:tr>
      <w:tr w:rsidR="008506AD" w:rsidRPr="00D41C2E" w14:paraId="2BC39F0B" w14:textId="2C452309" w:rsidTr="007331CF">
        <w:trPr>
          <w:trHeight w:val="680"/>
        </w:trPr>
        <w:tc>
          <w:tcPr>
            <w:tcW w:w="715" w:type="dxa"/>
            <w:shd w:val="clear" w:color="auto" w:fill="auto"/>
            <w:noWrap/>
            <w:vAlign w:val="center"/>
            <w:hideMark/>
          </w:tcPr>
          <w:p w14:paraId="09714B8B"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42</w:t>
            </w:r>
          </w:p>
        </w:tc>
        <w:tc>
          <w:tcPr>
            <w:tcW w:w="1690" w:type="dxa"/>
            <w:shd w:val="clear" w:color="auto" w:fill="auto"/>
            <w:vAlign w:val="center"/>
            <w:hideMark/>
          </w:tcPr>
          <w:p w14:paraId="768E8FAA" w14:textId="77777777" w:rsidR="008506AD" w:rsidRPr="00D41C2E" w:rsidRDefault="008506AD" w:rsidP="008506AD">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Crear un Oficial de Cumplimiento en los órganos de la Administración del Estado</w:t>
            </w:r>
          </w:p>
        </w:tc>
        <w:tc>
          <w:tcPr>
            <w:tcW w:w="3827" w:type="dxa"/>
            <w:shd w:val="clear" w:color="auto" w:fill="auto"/>
            <w:vAlign w:val="center"/>
            <w:hideMark/>
          </w:tcPr>
          <w:p w14:paraId="34C8495C" w14:textId="77777777" w:rsidR="008506AD" w:rsidRPr="00D41C2E" w:rsidRDefault="008506AD" w:rsidP="008506AD">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Se recogerá esta medida por medio del proyecto de ley.</w:t>
            </w:r>
          </w:p>
        </w:tc>
        <w:tc>
          <w:tcPr>
            <w:tcW w:w="567" w:type="dxa"/>
            <w:shd w:val="clear" w:color="auto" w:fill="auto"/>
            <w:noWrap/>
            <w:vAlign w:val="center"/>
            <w:hideMark/>
          </w:tcPr>
          <w:p w14:paraId="02B3189B"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Mediano</w:t>
            </w:r>
          </w:p>
        </w:tc>
        <w:tc>
          <w:tcPr>
            <w:tcW w:w="804" w:type="dxa"/>
            <w:vAlign w:val="center"/>
          </w:tcPr>
          <w:p w14:paraId="10B55CB6" w14:textId="7695A733"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735DE144" w14:textId="663C4E4E"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8506AD" w:rsidRPr="00D41C2E" w14:paraId="475AD90E" w14:textId="7397D51A" w:rsidTr="007331CF">
        <w:trPr>
          <w:trHeight w:val="860"/>
        </w:trPr>
        <w:tc>
          <w:tcPr>
            <w:tcW w:w="715" w:type="dxa"/>
            <w:vMerge w:val="restart"/>
            <w:shd w:val="clear" w:color="auto" w:fill="auto"/>
            <w:noWrap/>
            <w:vAlign w:val="center"/>
            <w:hideMark/>
          </w:tcPr>
          <w:p w14:paraId="0AB92D56"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43</w:t>
            </w:r>
          </w:p>
        </w:tc>
        <w:tc>
          <w:tcPr>
            <w:tcW w:w="1690" w:type="dxa"/>
            <w:vMerge w:val="restart"/>
            <w:shd w:val="clear" w:color="auto" w:fill="auto"/>
            <w:vAlign w:val="center"/>
            <w:hideMark/>
          </w:tcPr>
          <w:p w14:paraId="75CDC692" w14:textId="77777777" w:rsidR="008506AD" w:rsidRPr="00D41C2E" w:rsidRDefault="008506AD" w:rsidP="008B4B40">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Ampliar auditorías financieras y auditorías sobre el cumplimiento de  disposiciones contables desde la Contraloría General de la</w:t>
            </w:r>
            <w:r w:rsidRPr="00D41C2E">
              <w:rPr>
                <w:rFonts w:asciiTheme="majorHAnsi" w:eastAsia="Times New Roman" w:hAnsiTheme="majorHAnsi" w:cstheme="majorHAnsi"/>
                <w:color w:val="000000"/>
                <w:sz w:val="18"/>
                <w:szCs w:val="18"/>
                <w:lang w:eastAsia="es-MX"/>
              </w:rPr>
              <w:br/>
              <w:t>República</w:t>
            </w:r>
          </w:p>
        </w:tc>
        <w:tc>
          <w:tcPr>
            <w:tcW w:w="3827" w:type="dxa"/>
            <w:shd w:val="clear" w:color="auto" w:fill="auto"/>
            <w:vAlign w:val="center"/>
            <w:hideMark/>
          </w:tcPr>
          <w:p w14:paraId="476D94B4" w14:textId="77777777" w:rsidR="008506AD" w:rsidRPr="00D41C2E" w:rsidRDefault="008506AD" w:rsidP="008506AD">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Se oficiará a CGR.</w:t>
            </w:r>
          </w:p>
        </w:tc>
        <w:tc>
          <w:tcPr>
            <w:tcW w:w="567" w:type="dxa"/>
            <w:shd w:val="clear" w:color="auto" w:fill="auto"/>
            <w:noWrap/>
            <w:vAlign w:val="center"/>
            <w:hideMark/>
          </w:tcPr>
          <w:p w14:paraId="51EE8B17"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804" w:type="dxa"/>
            <w:vAlign w:val="center"/>
          </w:tcPr>
          <w:p w14:paraId="10C7B4AF" w14:textId="3FA1DFF2"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67%</w:t>
            </w:r>
          </w:p>
        </w:tc>
        <w:tc>
          <w:tcPr>
            <w:tcW w:w="1225" w:type="dxa"/>
            <w:vAlign w:val="center"/>
          </w:tcPr>
          <w:p w14:paraId="22D739C3" w14:textId="5080B6FB"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33%</w:t>
            </w:r>
          </w:p>
        </w:tc>
      </w:tr>
      <w:tr w:rsidR="008506AD" w:rsidRPr="00D41C2E" w14:paraId="06EF6B89" w14:textId="35CFB64C" w:rsidTr="007331CF">
        <w:trPr>
          <w:trHeight w:val="1020"/>
        </w:trPr>
        <w:tc>
          <w:tcPr>
            <w:tcW w:w="715" w:type="dxa"/>
            <w:vMerge/>
            <w:vAlign w:val="center"/>
            <w:hideMark/>
          </w:tcPr>
          <w:p w14:paraId="0345D6EA" w14:textId="77777777" w:rsidR="008506AD" w:rsidRPr="00D41C2E" w:rsidRDefault="008506AD" w:rsidP="008506AD">
            <w:pPr>
              <w:rPr>
                <w:rFonts w:asciiTheme="majorHAnsi" w:eastAsia="Times New Roman" w:hAnsiTheme="majorHAnsi" w:cstheme="majorHAnsi"/>
                <w:color w:val="000000"/>
                <w:sz w:val="18"/>
                <w:szCs w:val="18"/>
                <w:lang w:eastAsia="es-MX"/>
              </w:rPr>
            </w:pPr>
          </w:p>
        </w:tc>
        <w:tc>
          <w:tcPr>
            <w:tcW w:w="1690" w:type="dxa"/>
            <w:vMerge/>
            <w:vAlign w:val="center"/>
            <w:hideMark/>
          </w:tcPr>
          <w:p w14:paraId="5E0E3917" w14:textId="77777777" w:rsidR="008506AD" w:rsidRPr="00D41C2E" w:rsidRDefault="008506AD" w:rsidP="008506AD">
            <w:pPr>
              <w:rPr>
                <w:rFonts w:asciiTheme="majorHAnsi" w:eastAsia="Times New Roman" w:hAnsiTheme="majorHAnsi" w:cstheme="majorHAnsi"/>
                <w:color w:val="000000"/>
                <w:sz w:val="18"/>
                <w:szCs w:val="18"/>
                <w:lang w:eastAsia="es-MX"/>
              </w:rPr>
            </w:pPr>
          </w:p>
        </w:tc>
        <w:tc>
          <w:tcPr>
            <w:tcW w:w="3827" w:type="dxa"/>
            <w:shd w:val="clear" w:color="auto" w:fill="auto"/>
            <w:vAlign w:val="center"/>
            <w:hideMark/>
          </w:tcPr>
          <w:p w14:paraId="3CF79C48" w14:textId="77777777" w:rsidR="008506AD" w:rsidRPr="00D41C2E" w:rsidRDefault="008506AD" w:rsidP="008506AD">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Presentar un proyecto de ley que modernice a CGR.</w:t>
            </w:r>
          </w:p>
        </w:tc>
        <w:tc>
          <w:tcPr>
            <w:tcW w:w="567" w:type="dxa"/>
            <w:shd w:val="clear" w:color="auto" w:fill="auto"/>
            <w:noWrap/>
            <w:vAlign w:val="center"/>
            <w:hideMark/>
          </w:tcPr>
          <w:p w14:paraId="02335924"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2A3358D3" w14:textId="068DC603"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7C914DE2" w14:textId="07F2226E"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8506AD" w:rsidRPr="00D41C2E" w14:paraId="317F25DE" w14:textId="6D65D3DB" w:rsidTr="007331CF">
        <w:trPr>
          <w:trHeight w:val="1020"/>
        </w:trPr>
        <w:tc>
          <w:tcPr>
            <w:tcW w:w="715" w:type="dxa"/>
            <w:shd w:val="clear" w:color="auto" w:fill="auto"/>
            <w:noWrap/>
            <w:vAlign w:val="center"/>
            <w:hideMark/>
          </w:tcPr>
          <w:p w14:paraId="29FD15C1"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44</w:t>
            </w:r>
          </w:p>
        </w:tc>
        <w:tc>
          <w:tcPr>
            <w:tcW w:w="1690" w:type="dxa"/>
            <w:shd w:val="clear" w:color="auto" w:fill="auto"/>
            <w:vAlign w:val="center"/>
            <w:hideMark/>
          </w:tcPr>
          <w:p w14:paraId="24E0F639" w14:textId="77777777" w:rsidR="008506AD" w:rsidRPr="00D41C2E" w:rsidRDefault="008506AD" w:rsidP="008506AD">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Sanciones penales proporcionales y adecuadas a irregularidades en el uso de  recursos públicos y transferencias</w:t>
            </w:r>
          </w:p>
        </w:tc>
        <w:tc>
          <w:tcPr>
            <w:tcW w:w="3827" w:type="dxa"/>
            <w:shd w:val="clear" w:color="auto" w:fill="auto"/>
            <w:vAlign w:val="center"/>
            <w:hideMark/>
          </w:tcPr>
          <w:p w14:paraId="31159C85" w14:textId="77777777" w:rsidR="008506AD" w:rsidRPr="00D41C2E" w:rsidRDefault="008506AD" w:rsidP="008506AD">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Se encargará a la División Jurídico Legislativa de SEGPRES estudiar la regulación.</w:t>
            </w:r>
          </w:p>
        </w:tc>
        <w:tc>
          <w:tcPr>
            <w:tcW w:w="567" w:type="dxa"/>
            <w:shd w:val="clear" w:color="auto" w:fill="auto"/>
            <w:noWrap/>
            <w:vAlign w:val="center"/>
            <w:hideMark/>
          </w:tcPr>
          <w:p w14:paraId="25225763"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43F27F61" w14:textId="3C7EA466"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767D6307" w14:textId="6175BF0F"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r w:rsidR="008506AD" w:rsidRPr="00D41C2E" w14:paraId="0946DF38" w14:textId="434D0817" w:rsidTr="007331CF">
        <w:trPr>
          <w:trHeight w:val="1020"/>
        </w:trPr>
        <w:tc>
          <w:tcPr>
            <w:tcW w:w="715" w:type="dxa"/>
            <w:shd w:val="clear" w:color="auto" w:fill="auto"/>
            <w:noWrap/>
            <w:vAlign w:val="center"/>
            <w:hideMark/>
          </w:tcPr>
          <w:p w14:paraId="75DC7243"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45</w:t>
            </w:r>
          </w:p>
        </w:tc>
        <w:tc>
          <w:tcPr>
            <w:tcW w:w="1690" w:type="dxa"/>
            <w:shd w:val="clear" w:color="auto" w:fill="auto"/>
            <w:vAlign w:val="center"/>
            <w:hideMark/>
          </w:tcPr>
          <w:p w14:paraId="35EE2DA9" w14:textId="77777777" w:rsidR="008506AD" w:rsidRPr="00D41C2E" w:rsidRDefault="008506AD" w:rsidP="008506AD">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Fortalecimiento del Gobierno Corporativo y de la institucionalidad del Consejo para la Transparencia</w:t>
            </w:r>
          </w:p>
        </w:tc>
        <w:tc>
          <w:tcPr>
            <w:tcW w:w="3827" w:type="dxa"/>
            <w:shd w:val="clear" w:color="auto" w:fill="auto"/>
            <w:vAlign w:val="center"/>
            <w:hideMark/>
          </w:tcPr>
          <w:p w14:paraId="6438A4D7" w14:textId="77777777" w:rsidR="008506AD" w:rsidRPr="00D41C2E" w:rsidRDefault="008506AD" w:rsidP="008506AD">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legislativa.</w:t>
            </w:r>
            <w:r w:rsidRPr="00D41C2E">
              <w:rPr>
                <w:rFonts w:asciiTheme="majorHAnsi" w:eastAsia="Times New Roman" w:hAnsiTheme="majorHAnsi" w:cstheme="majorHAnsi"/>
                <w:color w:val="000000"/>
                <w:sz w:val="18"/>
                <w:szCs w:val="18"/>
                <w:lang w:eastAsia="es-MX"/>
              </w:rPr>
              <w:br/>
              <w:t>Indicaciones en Transparencia 2.0 fortalecerán la institucionalidad del CPLT.</w:t>
            </w:r>
          </w:p>
        </w:tc>
        <w:tc>
          <w:tcPr>
            <w:tcW w:w="567" w:type="dxa"/>
            <w:shd w:val="clear" w:color="auto" w:fill="auto"/>
            <w:noWrap/>
            <w:vAlign w:val="center"/>
            <w:hideMark/>
          </w:tcPr>
          <w:p w14:paraId="6C18AA37" w14:textId="77777777" w:rsidR="008506AD" w:rsidRPr="00D41C2E" w:rsidRDefault="008506AD" w:rsidP="008506AD">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Largo</w:t>
            </w:r>
          </w:p>
        </w:tc>
        <w:tc>
          <w:tcPr>
            <w:tcW w:w="804" w:type="dxa"/>
            <w:vAlign w:val="center"/>
          </w:tcPr>
          <w:p w14:paraId="27F73244" w14:textId="3DBAC572" w:rsidR="008506AD" w:rsidRPr="00D41C2E" w:rsidRDefault="008506AD" w:rsidP="008506AD">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0%</w:t>
            </w:r>
          </w:p>
        </w:tc>
        <w:tc>
          <w:tcPr>
            <w:tcW w:w="1225" w:type="dxa"/>
            <w:vAlign w:val="center"/>
          </w:tcPr>
          <w:p w14:paraId="7D3C40A1" w14:textId="413579CF" w:rsidR="008506AD" w:rsidRPr="008506AD" w:rsidRDefault="008506AD" w:rsidP="008506AD">
            <w:pPr>
              <w:jc w:val="center"/>
              <w:rPr>
                <w:rFonts w:asciiTheme="majorHAnsi" w:eastAsia="Times New Roman" w:hAnsiTheme="majorHAnsi" w:cstheme="majorHAnsi"/>
                <w:b/>
                <w:bCs/>
                <w:color w:val="000000"/>
                <w:sz w:val="18"/>
                <w:szCs w:val="18"/>
                <w:lang w:eastAsia="es-MX"/>
              </w:rPr>
            </w:pPr>
            <w:r w:rsidRPr="008506AD">
              <w:rPr>
                <w:rFonts w:asciiTheme="majorHAnsi" w:eastAsia="Times New Roman" w:hAnsiTheme="majorHAnsi" w:cstheme="majorHAnsi"/>
                <w:b/>
                <w:bCs/>
                <w:color w:val="000000"/>
                <w:sz w:val="18"/>
                <w:szCs w:val="18"/>
                <w:lang w:eastAsia="es-MX"/>
              </w:rPr>
              <w:t>0%</w:t>
            </w:r>
          </w:p>
        </w:tc>
      </w:tr>
    </w:tbl>
    <w:p w14:paraId="2E9A8A74" w14:textId="77777777" w:rsidR="000F1D3F" w:rsidRDefault="000F1D3F"/>
    <w:p w14:paraId="3BB53FD0" w14:textId="77777777" w:rsidR="00405C2E" w:rsidRDefault="00405C2E">
      <w:pPr>
        <w:rPr>
          <w:rFonts w:cstheme="minorHAnsi"/>
          <w:b/>
          <w:bCs/>
          <w:color w:val="67ABDF"/>
          <w:lang w:val="es-ES_tradnl"/>
        </w:rPr>
      </w:pPr>
      <w:r>
        <w:rPr>
          <w:rFonts w:cstheme="minorHAnsi"/>
          <w:b/>
          <w:bCs/>
          <w:color w:val="67ABDF"/>
          <w:lang w:val="es-ES_tradnl"/>
        </w:rPr>
        <w:br w:type="page"/>
      </w:r>
    </w:p>
    <w:p w14:paraId="1592EA18" w14:textId="0346519A" w:rsidR="000F1D3F" w:rsidRPr="002F7611" w:rsidRDefault="00B72218">
      <w:pPr>
        <w:rPr>
          <w:rFonts w:cstheme="minorHAnsi"/>
          <w:b/>
          <w:bCs/>
          <w:color w:val="67ABDF"/>
          <w:lang w:val="es-ES_tradnl"/>
        </w:rPr>
      </w:pPr>
      <w:r w:rsidRPr="002F7611">
        <w:rPr>
          <w:rFonts w:cstheme="minorHAnsi"/>
          <w:b/>
          <w:bCs/>
          <w:color w:val="67ABDF"/>
          <w:lang w:val="es-ES_tradnl"/>
        </w:rPr>
        <w:lastRenderedPageBreak/>
        <w:t>SEGUIMIENTO Y RENDICIÓN DE CUENTAS</w:t>
      </w:r>
    </w:p>
    <w:p w14:paraId="45292583" w14:textId="61C8E096" w:rsidR="007754CD" w:rsidRDefault="007754C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7754CD" w14:paraId="3BB74141" w14:textId="77777777" w:rsidTr="007754CD">
        <w:tc>
          <w:tcPr>
            <w:tcW w:w="2405" w:type="dxa"/>
          </w:tcPr>
          <w:p w14:paraId="640414F1" w14:textId="0B79EF17" w:rsidR="007754CD" w:rsidRDefault="007754CD">
            <w:r>
              <w:rPr>
                <w:noProof/>
              </w:rPr>
              <w:drawing>
                <wp:inline distT="0" distB="0" distL="0" distR="0" wp14:anchorId="5FD601F9" wp14:editId="30168546">
                  <wp:extent cx="1083065" cy="1055894"/>
                  <wp:effectExtent l="0" t="0" r="0" b="0"/>
                  <wp:docPr id="16622241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224124" name=""/>
                          <pic:cNvPicPr/>
                        </pic:nvPicPr>
                        <pic:blipFill rotWithShape="1">
                          <a:blip r:embed="rId12"/>
                          <a:srcRect l="17473" t="16653" r="21377"/>
                          <a:stretch/>
                        </pic:blipFill>
                        <pic:spPr bwMode="auto">
                          <a:xfrm>
                            <a:off x="0" y="0"/>
                            <a:ext cx="1124004" cy="1095806"/>
                          </a:xfrm>
                          <a:prstGeom prst="rect">
                            <a:avLst/>
                          </a:prstGeom>
                          <a:ln>
                            <a:noFill/>
                          </a:ln>
                          <a:extLst>
                            <a:ext uri="{53640926-AAD7-44D8-BBD7-CCE9431645EC}">
                              <a14:shadowObscured xmlns:a14="http://schemas.microsoft.com/office/drawing/2010/main"/>
                            </a:ext>
                          </a:extLst>
                        </pic:spPr>
                      </pic:pic>
                    </a:graphicData>
                  </a:graphic>
                </wp:inline>
              </w:drawing>
            </w:r>
          </w:p>
        </w:tc>
        <w:tc>
          <w:tcPr>
            <w:tcW w:w="6423" w:type="dxa"/>
          </w:tcPr>
          <w:p w14:paraId="0BA45E03" w14:textId="43D27752" w:rsidR="007754CD" w:rsidRPr="007754CD" w:rsidRDefault="007754CD" w:rsidP="007754CD">
            <w:pPr>
              <w:jc w:val="both"/>
              <w:rPr>
                <w:rFonts w:asciiTheme="majorHAnsi" w:hAnsiTheme="majorHAnsi" w:cstheme="majorHAnsi"/>
              </w:rPr>
            </w:pPr>
            <w:r>
              <w:rPr>
                <w:rFonts w:asciiTheme="majorHAnsi" w:hAnsiTheme="majorHAnsi" w:cstheme="majorHAnsi"/>
              </w:rPr>
              <w:t>El sistema de seguimiento a funcionado desde la labor de la Comisión de Integridad Pública y Transparencia, pero falta contar con un repositorio de información centralizado y disponible de forma permanente.</w:t>
            </w:r>
          </w:p>
        </w:tc>
      </w:tr>
    </w:tbl>
    <w:p w14:paraId="3F3CD5F1" w14:textId="5BE040F7" w:rsidR="000F1D3F" w:rsidRDefault="000F1D3F"/>
    <w:tbl>
      <w:tblPr>
        <w:tblW w:w="8828" w:type="dxa"/>
        <w:tblBorders>
          <w:top w:val="single" w:sz="4" w:space="0" w:color="67ABDF"/>
          <w:left w:val="single" w:sz="4" w:space="0" w:color="67ABDF"/>
          <w:bottom w:val="single" w:sz="4" w:space="0" w:color="67ABDF"/>
          <w:right w:val="single" w:sz="4" w:space="0" w:color="67ABDF"/>
          <w:insideH w:val="single" w:sz="4" w:space="0" w:color="67ABDF"/>
          <w:insideV w:val="single" w:sz="4" w:space="0" w:color="67ABDF"/>
        </w:tblBorders>
        <w:tblCellMar>
          <w:left w:w="70" w:type="dxa"/>
          <w:right w:w="70" w:type="dxa"/>
        </w:tblCellMar>
        <w:tblLook w:val="04A0" w:firstRow="1" w:lastRow="0" w:firstColumn="1" w:lastColumn="0" w:noHBand="0" w:noVBand="1"/>
      </w:tblPr>
      <w:tblGrid>
        <w:gridCol w:w="715"/>
        <w:gridCol w:w="1772"/>
        <w:gridCol w:w="3604"/>
        <w:gridCol w:w="817"/>
        <w:gridCol w:w="695"/>
        <w:gridCol w:w="1225"/>
      </w:tblGrid>
      <w:tr w:rsidR="00F75D56" w:rsidRPr="00D41C2E" w14:paraId="1598B42A" w14:textId="511CA535" w:rsidTr="007331CF">
        <w:trPr>
          <w:trHeight w:val="214"/>
        </w:trPr>
        <w:tc>
          <w:tcPr>
            <w:tcW w:w="715" w:type="dxa"/>
            <w:shd w:val="clear" w:color="auto" w:fill="67ABDF"/>
            <w:noWrap/>
            <w:vAlign w:val="center"/>
          </w:tcPr>
          <w:p w14:paraId="32CF0E9D" w14:textId="7990AFE9" w:rsidR="00F75D56" w:rsidRPr="00D41C2E" w:rsidRDefault="00F75D56" w:rsidP="00F75D56">
            <w:pPr>
              <w:jc w:val="center"/>
              <w:rPr>
                <w:rFonts w:asciiTheme="majorHAnsi" w:eastAsia="Times New Roman" w:hAnsiTheme="majorHAnsi" w:cstheme="majorHAnsi"/>
                <w:color w:val="000000"/>
                <w:sz w:val="18"/>
                <w:szCs w:val="18"/>
                <w:lang w:eastAsia="es-MX"/>
              </w:rPr>
            </w:pPr>
            <w:proofErr w:type="spellStart"/>
            <w:r w:rsidRPr="00D41C2E">
              <w:rPr>
                <w:rFonts w:asciiTheme="majorHAnsi" w:eastAsia="Times New Roman" w:hAnsiTheme="majorHAnsi" w:cstheme="majorHAnsi"/>
                <w:b/>
                <w:bCs/>
                <w:color w:val="FFFFFF"/>
                <w:sz w:val="16"/>
                <w:szCs w:val="16"/>
                <w:lang w:eastAsia="es-MX"/>
              </w:rPr>
              <w:t>N°</w:t>
            </w:r>
            <w:proofErr w:type="spellEnd"/>
            <w:r w:rsidRPr="00D41C2E">
              <w:rPr>
                <w:rFonts w:asciiTheme="majorHAnsi" w:eastAsia="Times New Roman" w:hAnsiTheme="majorHAnsi" w:cstheme="majorHAnsi"/>
                <w:b/>
                <w:bCs/>
                <w:color w:val="FFFFFF"/>
                <w:sz w:val="16"/>
                <w:szCs w:val="16"/>
                <w:lang w:eastAsia="es-MX"/>
              </w:rPr>
              <w:t xml:space="preserve"> </w:t>
            </w:r>
          </w:p>
        </w:tc>
        <w:tc>
          <w:tcPr>
            <w:tcW w:w="1772" w:type="dxa"/>
            <w:shd w:val="clear" w:color="auto" w:fill="67ABDF"/>
            <w:noWrap/>
            <w:vAlign w:val="center"/>
          </w:tcPr>
          <w:p w14:paraId="4C70711B" w14:textId="3EB96CEA" w:rsidR="00F75D56" w:rsidRPr="00D41C2E" w:rsidRDefault="00F75D56" w:rsidP="00F75D56">
            <w:pP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MEDIDA</w:t>
            </w:r>
          </w:p>
        </w:tc>
        <w:tc>
          <w:tcPr>
            <w:tcW w:w="3604" w:type="dxa"/>
            <w:shd w:val="clear" w:color="auto" w:fill="67ABDF"/>
            <w:vAlign w:val="center"/>
          </w:tcPr>
          <w:p w14:paraId="10AFEB02" w14:textId="6A942831" w:rsidR="00F75D56" w:rsidRPr="00D41C2E" w:rsidRDefault="00F75D56" w:rsidP="00F75D56">
            <w:pPr>
              <w:rPr>
                <w:rFonts w:asciiTheme="majorHAnsi" w:eastAsia="Times New Roman" w:hAnsiTheme="majorHAnsi" w:cstheme="majorHAnsi"/>
                <w:b/>
                <w:bCs/>
                <w:color w:val="000000"/>
                <w:sz w:val="18"/>
                <w:szCs w:val="18"/>
                <w:lang w:eastAsia="es-MX"/>
              </w:rPr>
            </w:pPr>
            <w:r w:rsidRPr="00D41C2E">
              <w:rPr>
                <w:rFonts w:asciiTheme="majorHAnsi" w:eastAsia="Times New Roman" w:hAnsiTheme="majorHAnsi" w:cstheme="majorHAnsi"/>
                <w:b/>
                <w:bCs/>
                <w:color w:val="FFFFFF"/>
                <w:sz w:val="16"/>
                <w:szCs w:val="16"/>
                <w:lang w:eastAsia="es-MX"/>
              </w:rPr>
              <w:t>ACCIÓN</w:t>
            </w:r>
          </w:p>
        </w:tc>
        <w:tc>
          <w:tcPr>
            <w:tcW w:w="817" w:type="dxa"/>
            <w:shd w:val="clear" w:color="auto" w:fill="67ABDF"/>
            <w:noWrap/>
            <w:vAlign w:val="center"/>
          </w:tcPr>
          <w:p w14:paraId="47D7692B" w14:textId="50D6E22D" w:rsidR="00F75D56" w:rsidRPr="00D41C2E" w:rsidRDefault="00F75D56" w:rsidP="00F75D56">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FFFFFF"/>
                <w:sz w:val="16"/>
                <w:szCs w:val="16"/>
                <w:lang w:eastAsia="es-MX"/>
              </w:rPr>
              <w:t>PLAZO </w:t>
            </w:r>
          </w:p>
        </w:tc>
        <w:tc>
          <w:tcPr>
            <w:tcW w:w="695" w:type="dxa"/>
            <w:shd w:val="clear" w:color="auto" w:fill="67ABDF"/>
            <w:vAlign w:val="center"/>
          </w:tcPr>
          <w:p w14:paraId="2DEA6E5D" w14:textId="1A88F0F9" w:rsidR="00F75D56" w:rsidRPr="00D41C2E" w:rsidRDefault="00F75D56" w:rsidP="00F75D5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b/>
                <w:bCs/>
                <w:color w:val="FFFFFF"/>
                <w:sz w:val="16"/>
                <w:szCs w:val="16"/>
                <w:lang w:eastAsia="es-MX"/>
              </w:rPr>
              <w:t>AVANCE</w:t>
            </w:r>
          </w:p>
        </w:tc>
        <w:tc>
          <w:tcPr>
            <w:tcW w:w="1225" w:type="dxa"/>
            <w:shd w:val="clear" w:color="auto" w:fill="67ABDF"/>
          </w:tcPr>
          <w:p w14:paraId="52FAC60F" w14:textId="12914565" w:rsidR="00F75D56" w:rsidRDefault="00F75D56" w:rsidP="00F75D56">
            <w:pPr>
              <w:jc w:val="center"/>
              <w:rPr>
                <w:rFonts w:asciiTheme="majorHAnsi" w:eastAsia="Times New Roman" w:hAnsiTheme="majorHAnsi" w:cstheme="majorHAnsi"/>
                <w:b/>
                <w:bCs/>
                <w:color w:val="FFFFFF"/>
                <w:sz w:val="16"/>
                <w:szCs w:val="16"/>
                <w:lang w:eastAsia="es-MX"/>
              </w:rPr>
            </w:pPr>
            <w:r w:rsidRPr="00FF08D7">
              <w:rPr>
                <w:rFonts w:asciiTheme="majorHAnsi" w:eastAsia="Times New Roman" w:hAnsiTheme="majorHAnsi" w:cstheme="majorHAnsi"/>
                <w:b/>
                <w:bCs/>
                <w:color w:val="FFFFFF"/>
                <w:sz w:val="16"/>
                <w:szCs w:val="16"/>
                <w:lang w:eastAsia="es-MX"/>
              </w:rPr>
              <w:t>CUMPLIMIENTO</w:t>
            </w:r>
          </w:p>
        </w:tc>
      </w:tr>
      <w:tr w:rsidR="00F75D56" w:rsidRPr="00D41C2E" w14:paraId="1C753C41" w14:textId="798D0530" w:rsidTr="007331CF">
        <w:trPr>
          <w:trHeight w:val="1360"/>
        </w:trPr>
        <w:tc>
          <w:tcPr>
            <w:tcW w:w="715" w:type="dxa"/>
            <w:shd w:val="clear" w:color="auto" w:fill="auto"/>
            <w:noWrap/>
            <w:vAlign w:val="center"/>
            <w:hideMark/>
          </w:tcPr>
          <w:p w14:paraId="7EEE15B9" w14:textId="77777777" w:rsidR="00F75D56" w:rsidRPr="00D41C2E" w:rsidRDefault="00F75D56"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46</w:t>
            </w:r>
          </w:p>
        </w:tc>
        <w:tc>
          <w:tcPr>
            <w:tcW w:w="1772" w:type="dxa"/>
            <w:shd w:val="clear" w:color="auto" w:fill="auto"/>
            <w:noWrap/>
            <w:vAlign w:val="center"/>
            <w:hideMark/>
          </w:tcPr>
          <w:p w14:paraId="1A8E8532" w14:textId="77777777" w:rsidR="00F75D56" w:rsidRPr="00D41C2E" w:rsidRDefault="00F75D56"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Seguimiento y rendición de cuentas de propuestas y recomendaciones</w:t>
            </w:r>
          </w:p>
        </w:tc>
        <w:tc>
          <w:tcPr>
            <w:tcW w:w="3604" w:type="dxa"/>
            <w:shd w:val="clear" w:color="auto" w:fill="auto"/>
            <w:vAlign w:val="center"/>
            <w:hideMark/>
          </w:tcPr>
          <w:p w14:paraId="3E097D0D" w14:textId="77777777" w:rsidR="00F75D56" w:rsidRPr="00D41C2E" w:rsidRDefault="00F75D56" w:rsidP="000F1D3F">
            <w:pP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b/>
                <w:bCs/>
                <w:color w:val="000000"/>
                <w:sz w:val="18"/>
                <w:szCs w:val="18"/>
                <w:lang w:eastAsia="es-MX"/>
              </w:rPr>
              <w:t>Medida Administrativa.</w:t>
            </w:r>
            <w:r w:rsidRPr="00D41C2E">
              <w:rPr>
                <w:rFonts w:asciiTheme="majorHAnsi" w:eastAsia="Times New Roman" w:hAnsiTheme="majorHAnsi" w:cstheme="majorHAnsi"/>
                <w:color w:val="000000"/>
                <w:sz w:val="18"/>
                <w:szCs w:val="18"/>
                <w:lang w:eastAsia="es-MX"/>
              </w:rPr>
              <w:br/>
              <w:t xml:space="preserve">Se designa para el seguimiento y coordinación de cumplimiento de las medidas a la </w:t>
            </w:r>
            <w:proofErr w:type="spellStart"/>
            <w:r w:rsidRPr="00D41C2E">
              <w:rPr>
                <w:rFonts w:asciiTheme="majorHAnsi" w:eastAsia="Times New Roman" w:hAnsiTheme="majorHAnsi" w:cstheme="majorHAnsi"/>
                <w:color w:val="000000"/>
                <w:sz w:val="18"/>
                <w:szCs w:val="18"/>
                <w:lang w:eastAsia="es-MX"/>
              </w:rPr>
              <w:t>CIPyT</w:t>
            </w:r>
            <w:proofErr w:type="spellEnd"/>
            <w:r w:rsidRPr="00D41C2E">
              <w:rPr>
                <w:rFonts w:asciiTheme="majorHAnsi" w:eastAsia="Times New Roman" w:hAnsiTheme="majorHAnsi" w:cstheme="majorHAnsi"/>
                <w:color w:val="000000"/>
                <w:sz w:val="18"/>
                <w:szCs w:val="18"/>
                <w:lang w:eastAsia="es-MX"/>
              </w:rPr>
              <w:t xml:space="preserve"> de </w:t>
            </w:r>
            <w:proofErr w:type="spellStart"/>
            <w:r w:rsidRPr="00D41C2E">
              <w:rPr>
                <w:rFonts w:asciiTheme="majorHAnsi" w:eastAsia="Times New Roman" w:hAnsiTheme="majorHAnsi" w:cstheme="majorHAnsi"/>
                <w:color w:val="000000"/>
                <w:sz w:val="18"/>
                <w:szCs w:val="18"/>
                <w:lang w:eastAsia="es-MX"/>
              </w:rPr>
              <w:t>Segpres</w:t>
            </w:r>
            <w:proofErr w:type="spellEnd"/>
            <w:r w:rsidRPr="00D41C2E">
              <w:rPr>
                <w:rFonts w:asciiTheme="majorHAnsi" w:eastAsia="Times New Roman" w:hAnsiTheme="majorHAnsi" w:cstheme="majorHAnsi"/>
                <w:color w:val="000000"/>
                <w:sz w:val="18"/>
                <w:szCs w:val="18"/>
                <w:lang w:eastAsia="es-MX"/>
              </w:rPr>
              <w:t>.</w:t>
            </w:r>
          </w:p>
        </w:tc>
        <w:tc>
          <w:tcPr>
            <w:tcW w:w="817" w:type="dxa"/>
            <w:shd w:val="clear" w:color="auto" w:fill="auto"/>
            <w:noWrap/>
            <w:vAlign w:val="center"/>
            <w:hideMark/>
          </w:tcPr>
          <w:p w14:paraId="0D0F3BC9" w14:textId="77777777" w:rsidR="00F75D56" w:rsidRPr="00D41C2E" w:rsidRDefault="00F75D56" w:rsidP="000F1D3F">
            <w:pPr>
              <w:jc w:val="center"/>
              <w:rPr>
                <w:rFonts w:asciiTheme="majorHAnsi" w:eastAsia="Times New Roman" w:hAnsiTheme="majorHAnsi" w:cstheme="majorHAnsi"/>
                <w:color w:val="000000"/>
                <w:sz w:val="18"/>
                <w:szCs w:val="18"/>
                <w:lang w:eastAsia="es-MX"/>
              </w:rPr>
            </w:pPr>
            <w:r w:rsidRPr="00D41C2E">
              <w:rPr>
                <w:rFonts w:asciiTheme="majorHAnsi" w:eastAsia="Times New Roman" w:hAnsiTheme="majorHAnsi" w:cstheme="majorHAnsi"/>
                <w:color w:val="000000"/>
                <w:sz w:val="18"/>
                <w:szCs w:val="18"/>
                <w:lang w:eastAsia="es-MX"/>
              </w:rPr>
              <w:t>Corto</w:t>
            </w:r>
          </w:p>
        </w:tc>
        <w:tc>
          <w:tcPr>
            <w:tcW w:w="695" w:type="dxa"/>
            <w:vAlign w:val="center"/>
          </w:tcPr>
          <w:p w14:paraId="64F23F69" w14:textId="0B113A99" w:rsidR="00F75D56" w:rsidRPr="00F75D56" w:rsidRDefault="00F75D56" w:rsidP="000F1D3F">
            <w:pPr>
              <w:jc w:val="center"/>
              <w:rPr>
                <w:rFonts w:asciiTheme="majorHAnsi" w:eastAsia="Times New Roman" w:hAnsiTheme="majorHAnsi" w:cstheme="majorHAnsi"/>
                <w:color w:val="000000"/>
                <w:sz w:val="18"/>
                <w:szCs w:val="18"/>
                <w:lang w:eastAsia="es-MX"/>
              </w:rPr>
            </w:pPr>
            <w:r w:rsidRPr="00F75D56">
              <w:rPr>
                <w:rFonts w:asciiTheme="majorHAnsi" w:eastAsia="Times New Roman" w:hAnsiTheme="majorHAnsi" w:cstheme="majorHAnsi"/>
                <w:color w:val="000000"/>
                <w:sz w:val="18"/>
                <w:szCs w:val="18"/>
                <w:lang w:eastAsia="es-MX"/>
              </w:rPr>
              <w:t>100%</w:t>
            </w:r>
          </w:p>
        </w:tc>
        <w:tc>
          <w:tcPr>
            <w:tcW w:w="1225" w:type="dxa"/>
            <w:vAlign w:val="center"/>
          </w:tcPr>
          <w:p w14:paraId="320CF72D" w14:textId="6595270C" w:rsidR="00F75D56" w:rsidRPr="000F1D3F" w:rsidRDefault="00F75D56" w:rsidP="00F75D56">
            <w:pPr>
              <w:jc w:val="center"/>
              <w:rPr>
                <w:rFonts w:asciiTheme="majorHAnsi" w:eastAsia="Times New Roman" w:hAnsiTheme="majorHAnsi" w:cstheme="majorHAnsi"/>
                <w:b/>
                <w:bCs/>
                <w:color w:val="000000"/>
                <w:sz w:val="18"/>
                <w:szCs w:val="18"/>
                <w:lang w:eastAsia="es-MX"/>
              </w:rPr>
            </w:pPr>
            <w:r w:rsidRPr="000F1D3F">
              <w:rPr>
                <w:rFonts w:asciiTheme="majorHAnsi" w:eastAsia="Times New Roman" w:hAnsiTheme="majorHAnsi" w:cstheme="majorHAnsi"/>
                <w:b/>
                <w:bCs/>
                <w:color w:val="000000"/>
                <w:sz w:val="18"/>
                <w:szCs w:val="18"/>
                <w:lang w:eastAsia="es-MX"/>
              </w:rPr>
              <w:t>100%</w:t>
            </w:r>
          </w:p>
        </w:tc>
      </w:tr>
    </w:tbl>
    <w:p w14:paraId="42B2B2B0" w14:textId="3FCFF844" w:rsidR="00BE263E" w:rsidRDefault="00BE263E">
      <w:pPr>
        <w:rPr>
          <w:rFonts w:cstheme="minorHAnsi"/>
          <w:color w:val="404040" w:themeColor="text1" w:themeTint="BF"/>
        </w:rPr>
      </w:pPr>
    </w:p>
    <w:p w14:paraId="0BC55001" w14:textId="77777777" w:rsidR="00BE263E" w:rsidRPr="00BE263E" w:rsidRDefault="00BE263E">
      <w:pPr>
        <w:rPr>
          <w:rFonts w:asciiTheme="majorHAnsi" w:hAnsiTheme="majorHAnsi" w:cstheme="majorHAnsi"/>
          <w:color w:val="404040" w:themeColor="text1" w:themeTint="BF"/>
        </w:rPr>
      </w:pPr>
    </w:p>
    <w:p w14:paraId="7442A9A8" w14:textId="1537F3D6" w:rsidR="00BE263E" w:rsidRPr="00BE263E" w:rsidRDefault="00BE263E">
      <w:pPr>
        <w:rPr>
          <w:rFonts w:asciiTheme="majorHAnsi" w:hAnsiTheme="majorHAnsi" w:cstheme="majorHAnsi"/>
          <w:b/>
          <w:bCs/>
          <w:color w:val="404040" w:themeColor="text1" w:themeTint="BF"/>
          <w:u w:val="single"/>
        </w:rPr>
      </w:pPr>
      <w:r w:rsidRPr="00BE263E">
        <w:rPr>
          <w:rFonts w:asciiTheme="majorHAnsi" w:hAnsiTheme="majorHAnsi" w:cstheme="majorHAnsi"/>
          <w:b/>
          <w:bCs/>
          <w:color w:val="404040" w:themeColor="text1" w:themeTint="BF"/>
          <w:u w:val="single"/>
        </w:rPr>
        <w:t xml:space="preserve">Metodología </w:t>
      </w:r>
    </w:p>
    <w:p w14:paraId="64A9497A" w14:textId="77777777" w:rsidR="00BE263E" w:rsidRPr="00BE263E" w:rsidRDefault="00BE263E">
      <w:pPr>
        <w:rPr>
          <w:rFonts w:asciiTheme="majorHAnsi" w:hAnsiTheme="majorHAnsi" w:cstheme="majorHAnsi"/>
          <w:color w:val="404040" w:themeColor="text1" w:themeTint="BF"/>
        </w:rPr>
      </w:pPr>
    </w:p>
    <w:p w14:paraId="39C24366" w14:textId="19501C94" w:rsidR="00BE263E" w:rsidRPr="00BE263E" w:rsidRDefault="00BE263E" w:rsidP="00BE263E">
      <w:pPr>
        <w:spacing w:line="276" w:lineRule="auto"/>
        <w:jc w:val="both"/>
        <w:rPr>
          <w:rFonts w:asciiTheme="majorHAnsi" w:eastAsia="Montserrat" w:hAnsiTheme="majorHAnsi" w:cstheme="majorHAnsi"/>
        </w:rPr>
      </w:pPr>
      <w:r w:rsidRPr="00BE263E">
        <w:rPr>
          <w:rFonts w:asciiTheme="majorHAnsi" w:eastAsia="Montserrat" w:hAnsiTheme="majorHAnsi" w:cstheme="majorHAnsi"/>
        </w:rPr>
        <w:t xml:space="preserve">El trabajo se realizó en base a las cinco áreas de las recomendaciones del informe: tipología y distribución de las Instituciones Públicas Sin Fines de Lucro (IPSFL); sus formas de relacionamiento con el Estado; transparencia en organismos del Estado y registros de estas instituciones; transparencia de las instituciones privadas sin fines de lucro; su gobierno corporativo; infracciones, controles y sanciones y, el área final, que es rendición de cuentas de éstas propuestas.  Para el total de 46 medidas propuestas, el Gobierno ha </w:t>
      </w:r>
      <w:r w:rsidRPr="00BE263E">
        <w:rPr>
          <w:rFonts w:asciiTheme="majorHAnsi" w:eastAsia="Montserrat" w:hAnsiTheme="majorHAnsi" w:cstheme="majorHAnsi"/>
        </w:rPr>
        <w:t>presentado</w:t>
      </w:r>
      <w:r w:rsidRPr="00BE263E">
        <w:rPr>
          <w:rFonts w:asciiTheme="majorHAnsi" w:eastAsia="Montserrat" w:hAnsiTheme="majorHAnsi" w:cstheme="majorHAnsi"/>
        </w:rPr>
        <w:t xml:space="preserve"> un</w:t>
      </w:r>
      <w:r>
        <w:rPr>
          <w:rFonts w:asciiTheme="majorHAnsi" w:eastAsia="Montserrat" w:hAnsiTheme="majorHAnsi" w:cstheme="majorHAnsi"/>
        </w:rPr>
        <w:t>a</w:t>
      </w:r>
      <w:r w:rsidRPr="00BE263E">
        <w:rPr>
          <w:rFonts w:asciiTheme="majorHAnsi" w:eastAsia="Montserrat" w:hAnsiTheme="majorHAnsi" w:cstheme="majorHAnsi"/>
        </w:rPr>
        <w:t xml:space="preserve"> agenda con 60 acciones que pueden ser legislativas o administrativas.</w:t>
      </w:r>
    </w:p>
    <w:p w14:paraId="6CA06835" w14:textId="77777777" w:rsidR="00BE263E" w:rsidRPr="00BE263E" w:rsidRDefault="00BE263E" w:rsidP="00BE263E">
      <w:pPr>
        <w:spacing w:line="276" w:lineRule="auto"/>
        <w:jc w:val="both"/>
        <w:rPr>
          <w:rFonts w:asciiTheme="majorHAnsi" w:eastAsia="Montserrat" w:hAnsiTheme="majorHAnsi" w:cstheme="majorHAnsi"/>
        </w:rPr>
      </w:pPr>
      <w:bookmarkStart w:id="0" w:name="_bh0c4z5em0o5" w:colFirst="0" w:colLast="0"/>
      <w:bookmarkEnd w:id="0"/>
    </w:p>
    <w:p w14:paraId="60CAB662" w14:textId="1D2CD83F" w:rsidR="00BE263E" w:rsidRPr="00BE263E" w:rsidRDefault="00BE263E" w:rsidP="00BE263E">
      <w:pPr>
        <w:spacing w:line="276" w:lineRule="auto"/>
        <w:jc w:val="both"/>
        <w:rPr>
          <w:rFonts w:asciiTheme="majorHAnsi" w:eastAsia="Montserrat" w:hAnsiTheme="majorHAnsi" w:cstheme="majorHAnsi"/>
        </w:rPr>
      </w:pPr>
      <w:bookmarkStart w:id="1" w:name="_bz5z8aih9gci" w:colFirst="0" w:colLast="0"/>
      <w:bookmarkEnd w:id="1"/>
      <w:r w:rsidRPr="00BE263E">
        <w:rPr>
          <w:rFonts w:asciiTheme="majorHAnsi" w:eastAsia="Montserrat" w:hAnsiTheme="majorHAnsi" w:cstheme="majorHAnsi"/>
        </w:rPr>
        <w:t>Las medidas propuestas, en cuanto a sus tiempos de ejecución o promulgación</w:t>
      </w:r>
      <w:r>
        <w:rPr>
          <w:rFonts w:asciiTheme="majorHAnsi" w:eastAsia="Montserrat" w:hAnsiTheme="majorHAnsi" w:cstheme="majorHAnsi"/>
        </w:rPr>
        <w:t xml:space="preserve">, </w:t>
      </w:r>
      <w:r w:rsidRPr="00BE263E">
        <w:rPr>
          <w:rFonts w:asciiTheme="majorHAnsi" w:eastAsia="Montserrat" w:hAnsiTheme="majorHAnsi" w:cstheme="majorHAnsi"/>
        </w:rPr>
        <w:t xml:space="preserve">se dividen en tres de acuerdo a la propia agenda del Gobierno: corto plazo (a 30 días), mediano plazo (al término del año legislativo, es decir marzo de 2024) y largo plazo (al término del gobierno en curso, marzo de 2026). </w:t>
      </w:r>
    </w:p>
    <w:p w14:paraId="5BC3B4A0" w14:textId="77777777" w:rsidR="00BE263E" w:rsidRPr="00BE263E" w:rsidRDefault="00BE263E" w:rsidP="00BE263E">
      <w:pPr>
        <w:spacing w:line="276" w:lineRule="auto"/>
        <w:jc w:val="both"/>
        <w:rPr>
          <w:rFonts w:asciiTheme="majorHAnsi" w:eastAsia="Montserrat" w:hAnsiTheme="majorHAnsi" w:cstheme="majorHAnsi"/>
        </w:rPr>
      </w:pPr>
    </w:p>
    <w:p w14:paraId="7DF554F5" w14:textId="77777777" w:rsidR="00BE263E" w:rsidRPr="00BE263E" w:rsidRDefault="00BE263E" w:rsidP="00BE263E">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 xml:space="preserve">Cada una de las acciones fue valorizada </w:t>
      </w:r>
      <w:proofErr w:type="gramStart"/>
      <w:r w:rsidRPr="00BE263E">
        <w:rPr>
          <w:rFonts w:asciiTheme="majorHAnsi" w:eastAsia="Montserrat" w:hAnsiTheme="majorHAnsi" w:cstheme="majorHAnsi"/>
          <w:lang w:val="es-ES_tradnl"/>
        </w:rPr>
        <w:t>de acuerdo a</w:t>
      </w:r>
      <w:proofErr w:type="gramEnd"/>
      <w:r w:rsidRPr="00BE263E">
        <w:rPr>
          <w:rFonts w:asciiTheme="majorHAnsi" w:eastAsia="Montserrat" w:hAnsiTheme="majorHAnsi" w:cstheme="majorHAnsi"/>
          <w:lang w:val="es-ES_tradnl"/>
        </w:rPr>
        <w:t xml:space="preserve"> su avance, distinguiendo ente las etapas de las medidas legislativas y las de gestión o administrativas. El nivel de avance reportado es el resultado de un promedio ponderado de las acciones vinculadas a una medida. Mismo procedimiento se hizo con las áreas del informe y el avance general.</w:t>
      </w:r>
    </w:p>
    <w:p w14:paraId="1467E614" w14:textId="77777777" w:rsidR="00BE263E" w:rsidRPr="00BE263E" w:rsidRDefault="00BE263E">
      <w:pPr>
        <w:rPr>
          <w:rFonts w:asciiTheme="majorHAnsi" w:hAnsiTheme="majorHAnsi" w:cstheme="majorHAnsi"/>
          <w:color w:val="404040" w:themeColor="text1" w:themeTint="BF"/>
        </w:rPr>
      </w:pPr>
    </w:p>
    <w:tbl>
      <w:tblPr>
        <w:tblW w:w="5103" w:type="dxa"/>
        <w:tblLayout w:type="fixed"/>
        <w:tblCellMar>
          <w:left w:w="0" w:type="dxa"/>
          <w:right w:w="0" w:type="dxa"/>
        </w:tblCellMar>
        <w:tblLook w:val="0420" w:firstRow="1" w:lastRow="0" w:firstColumn="0" w:lastColumn="0" w:noHBand="0" w:noVBand="1"/>
      </w:tblPr>
      <w:tblGrid>
        <w:gridCol w:w="2760"/>
        <w:gridCol w:w="1200"/>
        <w:gridCol w:w="1143"/>
      </w:tblGrid>
      <w:tr w:rsidR="00BE263E" w:rsidRPr="00BE263E" w14:paraId="63EBA2B9" w14:textId="77777777" w:rsidTr="00BE263E">
        <w:trPr>
          <w:trHeight w:val="600"/>
        </w:trPr>
        <w:tc>
          <w:tcPr>
            <w:tcW w:w="5103" w:type="dxa"/>
            <w:gridSpan w:val="3"/>
            <w:tcBorders>
              <w:top w:val="nil"/>
              <w:left w:val="nil"/>
              <w:bottom w:val="nil"/>
              <w:right w:val="nil"/>
            </w:tcBorders>
            <w:shd w:val="clear" w:color="auto" w:fill="auto"/>
            <w:tcMar>
              <w:top w:w="72" w:type="dxa"/>
              <w:left w:w="144" w:type="dxa"/>
              <w:bottom w:w="72" w:type="dxa"/>
              <w:right w:w="144" w:type="dxa"/>
            </w:tcMar>
            <w:hideMark/>
          </w:tcPr>
          <w:p w14:paraId="5C7DDF48"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b/>
                <w:bCs/>
                <w:lang w:val="es-ES_tradnl"/>
              </w:rPr>
              <w:lastRenderedPageBreak/>
              <w:t>Legislativa</w:t>
            </w:r>
          </w:p>
        </w:tc>
      </w:tr>
      <w:tr w:rsidR="00BE263E" w:rsidRPr="00BE263E" w14:paraId="1A9D9FF6" w14:textId="77777777" w:rsidTr="00BE263E">
        <w:trPr>
          <w:trHeight w:val="1920"/>
        </w:trPr>
        <w:tc>
          <w:tcPr>
            <w:tcW w:w="2760" w:type="dxa"/>
            <w:tcBorders>
              <w:top w:val="nil"/>
              <w:left w:val="nil"/>
              <w:bottom w:val="nil"/>
              <w:right w:val="nil"/>
            </w:tcBorders>
            <w:shd w:val="clear" w:color="auto" w:fill="auto"/>
            <w:tcMar>
              <w:top w:w="72" w:type="dxa"/>
              <w:left w:w="144" w:type="dxa"/>
              <w:bottom w:w="72" w:type="dxa"/>
              <w:right w:w="144" w:type="dxa"/>
            </w:tcMar>
            <w:hideMark/>
          </w:tcPr>
          <w:p w14:paraId="61CE7DAE"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Proyecto Ley ingresado</w:t>
            </w:r>
          </w:p>
          <w:p w14:paraId="49B85A52"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1° Trámite</w:t>
            </w:r>
          </w:p>
          <w:p w14:paraId="406DDB06"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Último trámite</w:t>
            </w:r>
          </w:p>
          <w:p w14:paraId="517849D9"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Promulgado</w:t>
            </w:r>
          </w:p>
        </w:tc>
        <w:tc>
          <w:tcPr>
            <w:tcW w:w="2343" w:type="dxa"/>
            <w:gridSpan w:val="2"/>
            <w:tcBorders>
              <w:top w:val="nil"/>
              <w:left w:val="nil"/>
              <w:bottom w:val="nil"/>
              <w:right w:val="nil"/>
            </w:tcBorders>
            <w:shd w:val="clear" w:color="auto" w:fill="auto"/>
            <w:tcMar>
              <w:top w:w="72" w:type="dxa"/>
              <w:left w:w="144" w:type="dxa"/>
              <w:bottom w:w="72" w:type="dxa"/>
              <w:right w:w="144" w:type="dxa"/>
            </w:tcMar>
            <w:hideMark/>
          </w:tcPr>
          <w:p w14:paraId="0EB5ED6A"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25%</w:t>
            </w:r>
          </w:p>
          <w:p w14:paraId="7461BE57"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50%</w:t>
            </w:r>
          </w:p>
          <w:p w14:paraId="64D010B4"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75%</w:t>
            </w:r>
          </w:p>
          <w:p w14:paraId="1D1DC866"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100%</w:t>
            </w:r>
          </w:p>
        </w:tc>
      </w:tr>
      <w:tr w:rsidR="00BE263E" w:rsidRPr="00BE263E" w14:paraId="40C3E853" w14:textId="77777777" w:rsidTr="00BE263E">
        <w:trPr>
          <w:trHeight w:val="713"/>
        </w:trPr>
        <w:tc>
          <w:tcPr>
            <w:tcW w:w="5103" w:type="dxa"/>
            <w:gridSpan w:val="3"/>
            <w:tcBorders>
              <w:top w:val="nil"/>
              <w:left w:val="nil"/>
              <w:bottom w:val="nil"/>
              <w:right w:val="nil"/>
            </w:tcBorders>
            <w:shd w:val="clear" w:color="auto" w:fill="auto"/>
            <w:tcMar>
              <w:top w:w="72" w:type="dxa"/>
              <w:left w:w="144" w:type="dxa"/>
              <w:bottom w:w="72" w:type="dxa"/>
              <w:right w:w="144" w:type="dxa"/>
            </w:tcMar>
            <w:hideMark/>
          </w:tcPr>
          <w:p w14:paraId="2C0E6EF8"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b/>
                <w:bCs/>
                <w:lang w:val="es-ES_tradnl"/>
              </w:rPr>
              <w:t xml:space="preserve">Gestión o </w:t>
            </w:r>
            <w:proofErr w:type="spellStart"/>
            <w:r w:rsidRPr="00BE263E">
              <w:rPr>
                <w:rFonts w:asciiTheme="majorHAnsi" w:eastAsia="Montserrat" w:hAnsiTheme="majorHAnsi" w:cstheme="majorHAnsi"/>
                <w:b/>
                <w:bCs/>
                <w:lang w:val="es-ES_tradnl"/>
              </w:rPr>
              <w:t>Adm</w:t>
            </w:r>
            <w:proofErr w:type="spellEnd"/>
            <w:r w:rsidRPr="00BE263E">
              <w:rPr>
                <w:rFonts w:asciiTheme="majorHAnsi" w:eastAsia="Montserrat" w:hAnsiTheme="majorHAnsi" w:cstheme="majorHAnsi"/>
                <w:b/>
                <w:bCs/>
                <w:lang w:val="es-ES_tradnl"/>
              </w:rPr>
              <w:t>.</w:t>
            </w:r>
          </w:p>
        </w:tc>
      </w:tr>
      <w:tr w:rsidR="00BE263E" w:rsidRPr="00BE263E" w14:paraId="7B40B214" w14:textId="77777777" w:rsidTr="00BE263E">
        <w:trPr>
          <w:trHeight w:val="2317"/>
        </w:trPr>
        <w:tc>
          <w:tcPr>
            <w:tcW w:w="3960" w:type="dxa"/>
            <w:gridSpan w:val="2"/>
            <w:tcBorders>
              <w:top w:val="nil"/>
              <w:left w:val="nil"/>
              <w:bottom w:val="nil"/>
              <w:right w:val="nil"/>
            </w:tcBorders>
            <w:shd w:val="clear" w:color="auto" w:fill="auto"/>
            <w:tcMar>
              <w:top w:w="72" w:type="dxa"/>
              <w:left w:w="144" w:type="dxa"/>
              <w:bottom w:w="72" w:type="dxa"/>
              <w:right w:w="144" w:type="dxa"/>
            </w:tcMar>
            <w:hideMark/>
          </w:tcPr>
          <w:p w14:paraId="36B495E3"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Comunicación interna</w:t>
            </w:r>
          </w:p>
          <w:p w14:paraId="48E70838"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Medida formalizada o en curso</w:t>
            </w:r>
          </w:p>
          <w:p w14:paraId="6233359E"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En ejecución o implementación</w:t>
            </w:r>
          </w:p>
        </w:tc>
        <w:tc>
          <w:tcPr>
            <w:tcW w:w="1143" w:type="dxa"/>
            <w:tcBorders>
              <w:top w:val="nil"/>
              <w:left w:val="nil"/>
              <w:bottom w:val="nil"/>
              <w:right w:val="nil"/>
            </w:tcBorders>
            <w:shd w:val="clear" w:color="auto" w:fill="auto"/>
            <w:tcMar>
              <w:top w:w="72" w:type="dxa"/>
              <w:left w:w="144" w:type="dxa"/>
              <w:bottom w:w="72" w:type="dxa"/>
              <w:right w:w="144" w:type="dxa"/>
            </w:tcMar>
            <w:hideMark/>
          </w:tcPr>
          <w:p w14:paraId="619CD01A"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33%</w:t>
            </w:r>
          </w:p>
          <w:p w14:paraId="57E87040"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66%</w:t>
            </w:r>
          </w:p>
          <w:p w14:paraId="0B273C4B" w14:textId="77777777" w:rsidR="00BE263E" w:rsidRPr="00BE263E" w:rsidRDefault="00BE263E" w:rsidP="00B16F85">
            <w:pPr>
              <w:spacing w:line="276" w:lineRule="auto"/>
              <w:jc w:val="both"/>
              <w:rPr>
                <w:rFonts w:asciiTheme="majorHAnsi" w:eastAsia="Montserrat" w:hAnsiTheme="majorHAnsi" w:cstheme="majorHAnsi"/>
              </w:rPr>
            </w:pPr>
            <w:r w:rsidRPr="00BE263E">
              <w:rPr>
                <w:rFonts w:asciiTheme="majorHAnsi" w:eastAsia="Montserrat" w:hAnsiTheme="majorHAnsi" w:cstheme="majorHAnsi"/>
                <w:lang w:val="es-ES_tradnl"/>
              </w:rPr>
              <w:t>100%</w:t>
            </w:r>
          </w:p>
        </w:tc>
      </w:tr>
    </w:tbl>
    <w:p w14:paraId="52161700" w14:textId="4AABFA6B" w:rsidR="00D41C2E" w:rsidRPr="00D41C2E" w:rsidRDefault="00D41C2E">
      <w:pPr>
        <w:rPr>
          <w:rFonts w:cstheme="minorHAnsi"/>
          <w:color w:val="404040" w:themeColor="text1" w:themeTint="BF"/>
        </w:rPr>
      </w:pPr>
    </w:p>
    <w:sectPr w:rsidR="00D41C2E" w:rsidRPr="00D41C2E" w:rsidSect="00B72218">
      <w:pgSz w:w="12240" w:h="15840"/>
      <w:pgMar w:top="1417" w:right="1701" w:bottom="306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3DF8"/>
    <w:multiLevelType w:val="hybridMultilevel"/>
    <w:tmpl w:val="81643D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05C4F5A"/>
    <w:multiLevelType w:val="hybridMultilevel"/>
    <w:tmpl w:val="2E7EF446"/>
    <w:lvl w:ilvl="0" w:tplc="9000B6BE">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AE73094"/>
    <w:multiLevelType w:val="hybridMultilevel"/>
    <w:tmpl w:val="959C0FE4"/>
    <w:lvl w:ilvl="0" w:tplc="2230FA48">
      <w:start w:val="1"/>
      <w:numFmt w:val="bullet"/>
      <w:lvlText w:val=""/>
      <w:lvlJc w:val="left"/>
      <w:pPr>
        <w:ind w:left="720" w:hanging="360"/>
      </w:pPr>
      <w:rPr>
        <w:rFonts w:ascii="Symbol" w:hAnsi="Symbol" w:hint="default"/>
        <w:color w:val="67ABD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477457"/>
    <w:multiLevelType w:val="hybridMultilevel"/>
    <w:tmpl w:val="FE9432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577781762">
    <w:abstractNumId w:val="2"/>
  </w:num>
  <w:num w:numId="2" w16cid:durableId="698121587">
    <w:abstractNumId w:val="3"/>
  </w:num>
  <w:num w:numId="3" w16cid:durableId="1863010099">
    <w:abstractNumId w:val="1"/>
  </w:num>
  <w:num w:numId="4" w16cid:durableId="132127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5F"/>
    <w:rsid w:val="000F1D3F"/>
    <w:rsid w:val="00112B12"/>
    <w:rsid w:val="001653D8"/>
    <w:rsid w:val="001773DF"/>
    <w:rsid w:val="00187EB7"/>
    <w:rsid w:val="001D0358"/>
    <w:rsid w:val="00206EDB"/>
    <w:rsid w:val="002F7611"/>
    <w:rsid w:val="00334BA8"/>
    <w:rsid w:val="00373B32"/>
    <w:rsid w:val="003878DA"/>
    <w:rsid w:val="00405C2E"/>
    <w:rsid w:val="00432C1B"/>
    <w:rsid w:val="00490B92"/>
    <w:rsid w:val="004A59D1"/>
    <w:rsid w:val="00543A77"/>
    <w:rsid w:val="00557CC3"/>
    <w:rsid w:val="00574F3D"/>
    <w:rsid w:val="00630A29"/>
    <w:rsid w:val="00653452"/>
    <w:rsid w:val="006A7362"/>
    <w:rsid w:val="006D7123"/>
    <w:rsid w:val="007020F5"/>
    <w:rsid w:val="00717907"/>
    <w:rsid w:val="00723E58"/>
    <w:rsid w:val="007331CF"/>
    <w:rsid w:val="00735C97"/>
    <w:rsid w:val="007754CD"/>
    <w:rsid w:val="007A1FB2"/>
    <w:rsid w:val="007E5136"/>
    <w:rsid w:val="008506AD"/>
    <w:rsid w:val="008657BA"/>
    <w:rsid w:val="008B001B"/>
    <w:rsid w:val="008B4B40"/>
    <w:rsid w:val="008F06C9"/>
    <w:rsid w:val="00920A0C"/>
    <w:rsid w:val="00922BF3"/>
    <w:rsid w:val="009C3ECF"/>
    <w:rsid w:val="00A5605C"/>
    <w:rsid w:val="00AD6676"/>
    <w:rsid w:val="00B72218"/>
    <w:rsid w:val="00B80DDC"/>
    <w:rsid w:val="00BC1E09"/>
    <w:rsid w:val="00BE263E"/>
    <w:rsid w:val="00BE31EA"/>
    <w:rsid w:val="00C5225D"/>
    <w:rsid w:val="00C80248"/>
    <w:rsid w:val="00CF1A64"/>
    <w:rsid w:val="00CF3A83"/>
    <w:rsid w:val="00CF733C"/>
    <w:rsid w:val="00D41C2E"/>
    <w:rsid w:val="00D83E96"/>
    <w:rsid w:val="00DC565F"/>
    <w:rsid w:val="00E3352D"/>
    <w:rsid w:val="00EA52BC"/>
    <w:rsid w:val="00F369E5"/>
    <w:rsid w:val="00F75D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A7FA"/>
  <w15:chartTrackingRefBased/>
  <w15:docId w15:val="{C1A9BB36-0FF7-0A47-A916-F7171E32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C565F"/>
    <w:rPr>
      <w:color w:val="808080"/>
    </w:rPr>
  </w:style>
  <w:style w:type="character" w:customStyle="1" w:styleId="normaltextrun">
    <w:name w:val="normaltextrun"/>
    <w:basedOn w:val="Fuentedeprrafopredeter"/>
    <w:rsid w:val="00DC565F"/>
  </w:style>
  <w:style w:type="paragraph" w:styleId="Prrafodelista">
    <w:name w:val="List Paragraph"/>
    <w:basedOn w:val="Normal"/>
    <w:uiPriority w:val="34"/>
    <w:qFormat/>
    <w:rsid w:val="00630A29"/>
    <w:pPr>
      <w:ind w:left="720"/>
      <w:contextualSpacing/>
    </w:pPr>
  </w:style>
  <w:style w:type="character" w:styleId="Hipervnculo">
    <w:name w:val="Hyperlink"/>
    <w:basedOn w:val="Fuentedeprrafopredeter"/>
    <w:uiPriority w:val="99"/>
    <w:unhideWhenUsed/>
    <w:rsid w:val="001D0358"/>
    <w:rPr>
      <w:color w:val="0563C1" w:themeColor="hyperlink"/>
      <w:u w:val="single"/>
    </w:rPr>
  </w:style>
  <w:style w:type="character" w:styleId="Mencinsinresolver">
    <w:name w:val="Unresolved Mention"/>
    <w:basedOn w:val="Fuentedeprrafopredeter"/>
    <w:uiPriority w:val="99"/>
    <w:semiHidden/>
    <w:unhideWhenUsed/>
    <w:rsid w:val="001D0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7789">
      <w:bodyDiv w:val="1"/>
      <w:marLeft w:val="0"/>
      <w:marRight w:val="0"/>
      <w:marTop w:val="0"/>
      <w:marBottom w:val="0"/>
      <w:divBdr>
        <w:top w:val="none" w:sz="0" w:space="0" w:color="auto"/>
        <w:left w:val="none" w:sz="0" w:space="0" w:color="auto"/>
        <w:bottom w:val="none" w:sz="0" w:space="0" w:color="auto"/>
        <w:right w:val="none" w:sz="0" w:space="0" w:color="auto"/>
      </w:divBdr>
    </w:div>
    <w:div w:id="701367717">
      <w:bodyDiv w:val="1"/>
      <w:marLeft w:val="0"/>
      <w:marRight w:val="0"/>
      <w:marTop w:val="0"/>
      <w:marBottom w:val="0"/>
      <w:divBdr>
        <w:top w:val="none" w:sz="0" w:space="0" w:color="auto"/>
        <w:left w:val="none" w:sz="0" w:space="0" w:color="auto"/>
        <w:bottom w:val="none" w:sz="0" w:space="0" w:color="auto"/>
        <w:right w:val="none" w:sz="0" w:space="0" w:color="auto"/>
      </w:divBdr>
      <w:divsChild>
        <w:div w:id="1686901862">
          <w:marLeft w:val="0"/>
          <w:marRight w:val="0"/>
          <w:marTop w:val="0"/>
          <w:marBottom w:val="0"/>
          <w:divBdr>
            <w:top w:val="none" w:sz="0" w:space="0" w:color="auto"/>
            <w:left w:val="none" w:sz="0" w:space="0" w:color="auto"/>
            <w:bottom w:val="none" w:sz="0" w:space="0" w:color="auto"/>
            <w:right w:val="none" w:sz="0" w:space="0" w:color="auto"/>
          </w:divBdr>
          <w:divsChild>
            <w:div w:id="1609119830">
              <w:marLeft w:val="0"/>
              <w:marRight w:val="0"/>
              <w:marTop w:val="0"/>
              <w:marBottom w:val="0"/>
              <w:divBdr>
                <w:top w:val="none" w:sz="0" w:space="0" w:color="auto"/>
                <w:left w:val="none" w:sz="0" w:space="0" w:color="auto"/>
                <w:bottom w:val="none" w:sz="0" w:space="0" w:color="auto"/>
                <w:right w:val="none" w:sz="0" w:space="0" w:color="auto"/>
              </w:divBdr>
              <w:divsChild>
                <w:div w:id="127019387">
                  <w:marLeft w:val="0"/>
                  <w:marRight w:val="0"/>
                  <w:marTop w:val="0"/>
                  <w:marBottom w:val="0"/>
                  <w:divBdr>
                    <w:top w:val="none" w:sz="0" w:space="0" w:color="auto"/>
                    <w:left w:val="none" w:sz="0" w:space="0" w:color="auto"/>
                    <w:bottom w:val="none" w:sz="0" w:space="0" w:color="auto"/>
                    <w:right w:val="none" w:sz="0" w:space="0" w:color="auto"/>
                  </w:divBdr>
                  <w:divsChild>
                    <w:div w:id="21202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96651">
      <w:bodyDiv w:val="1"/>
      <w:marLeft w:val="0"/>
      <w:marRight w:val="0"/>
      <w:marTop w:val="0"/>
      <w:marBottom w:val="0"/>
      <w:divBdr>
        <w:top w:val="none" w:sz="0" w:space="0" w:color="auto"/>
        <w:left w:val="none" w:sz="0" w:space="0" w:color="auto"/>
        <w:bottom w:val="none" w:sz="0" w:space="0" w:color="auto"/>
        <w:right w:val="none" w:sz="0" w:space="0" w:color="auto"/>
      </w:divBdr>
      <w:divsChild>
        <w:div w:id="849412601">
          <w:marLeft w:val="0"/>
          <w:marRight w:val="0"/>
          <w:marTop w:val="0"/>
          <w:marBottom w:val="0"/>
          <w:divBdr>
            <w:top w:val="none" w:sz="0" w:space="0" w:color="auto"/>
            <w:left w:val="none" w:sz="0" w:space="0" w:color="auto"/>
            <w:bottom w:val="none" w:sz="0" w:space="0" w:color="auto"/>
            <w:right w:val="none" w:sz="0" w:space="0" w:color="auto"/>
          </w:divBdr>
          <w:divsChild>
            <w:div w:id="131867081">
              <w:marLeft w:val="0"/>
              <w:marRight w:val="0"/>
              <w:marTop w:val="0"/>
              <w:marBottom w:val="0"/>
              <w:divBdr>
                <w:top w:val="none" w:sz="0" w:space="0" w:color="auto"/>
                <w:left w:val="none" w:sz="0" w:space="0" w:color="auto"/>
                <w:bottom w:val="none" w:sz="0" w:space="0" w:color="auto"/>
                <w:right w:val="none" w:sz="0" w:space="0" w:color="auto"/>
              </w:divBdr>
              <w:divsChild>
                <w:div w:id="1764759370">
                  <w:marLeft w:val="0"/>
                  <w:marRight w:val="0"/>
                  <w:marTop w:val="0"/>
                  <w:marBottom w:val="0"/>
                  <w:divBdr>
                    <w:top w:val="none" w:sz="0" w:space="0" w:color="auto"/>
                    <w:left w:val="none" w:sz="0" w:space="0" w:color="auto"/>
                    <w:bottom w:val="none" w:sz="0" w:space="0" w:color="auto"/>
                    <w:right w:val="none" w:sz="0" w:space="0" w:color="auto"/>
                  </w:divBdr>
                  <w:divsChild>
                    <w:div w:id="19201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4839">
      <w:bodyDiv w:val="1"/>
      <w:marLeft w:val="0"/>
      <w:marRight w:val="0"/>
      <w:marTop w:val="0"/>
      <w:marBottom w:val="0"/>
      <w:divBdr>
        <w:top w:val="none" w:sz="0" w:space="0" w:color="auto"/>
        <w:left w:val="none" w:sz="0" w:space="0" w:color="auto"/>
        <w:bottom w:val="none" w:sz="0" w:space="0" w:color="auto"/>
        <w:right w:val="none" w:sz="0" w:space="0" w:color="auto"/>
      </w:divBdr>
    </w:div>
    <w:div w:id="1466697869">
      <w:bodyDiv w:val="1"/>
      <w:marLeft w:val="0"/>
      <w:marRight w:val="0"/>
      <w:marTop w:val="0"/>
      <w:marBottom w:val="0"/>
      <w:divBdr>
        <w:top w:val="none" w:sz="0" w:space="0" w:color="auto"/>
        <w:left w:val="none" w:sz="0" w:space="0" w:color="auto"/>
        <w:bottom w:val="none" w:sz="0" w:space="0" w:color="auto"/>
        <w:right w:val="none" w:sz="0" w:space="0" w:color="auto"/>
      </w:divBdr>
    </w:div>
    <w:div w:id="1530341646">
      <w:bodyDiv w:val="1"/>
      <w:marLeft w:val="0"/>
      <w:marRight w:val="0"/>
      <w:marTop w:val="0"/>
      <w:marBottom w:val="0"/>
      <w:divBdr>
        <w:top w:val="none" w:sz="0" w:space="0" w:color="auto"/>
        <w:left w:val="none" w:sz="0" w:space="0" w:color="auto"/>
        <w:bottom w:val="none" w:sz="0" w:space="0" w:color="auto"/>
        <w:right w:val="none" w:sz="0" w:space="0" w:color="auto"/>
      </w:divBdr>
    </w:div>
    <w:div w:id="1781409435">
      <w:bodyDiv w:val="1"/>
      <w:marLeft w:val="0"/>
      <w:marRight w:val="0"/>
      <w:marTop w:val="0"/>
      <w:marBottom w:val="0"/>
      <w:divBdr>
        <w:top w:val="none" w:sz="0" w:space="0" w:color="auto"/>
        <w:left w:val="none" w:sz="0" w:space="0" w:color="auto"/>
        <w:bottom w:val="none" w:sz="0" w:space="0" w:color="auto"/>
        <w:right w:val="none" w:sz="0" w:space="0" w:color="auto"/>
      </w:divBdr>
    </w:div>
    <w:div w:id="1910918367">
      <w:bodyDiv w:val="1"/>
      <w:marLeft w:val="0"/>
      <w:marRight w:val="0"/>
      <w:marTop w:val="0"/>
      <w:marBottom w:val="0"/>
      <w:divBdr>
        <w:top w:val="none" w:sz="0" w:space="0" w:color="auto"/>
        <w:left w:val="none" w:sz="0" w:space="0" w:color="auto"/>
        <w:bottom w:val="none" w:sz="0" w:space="0" w:color="auto"/>
        <w:right w:val="none" w:sz="0" w:space="0" w:color="auto"/>
      </w:divBdr>
    </w:div>
    <w:div w:id="20463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2901</Words>
  <Characters>15057</Characters>
  <Application>Microsoft Office Word</Application>
  <DocSecurity>0</DocSecurity>
  <Lines>224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figueroamardonesm@gmail.com</dc:creator>
  <cp:keywords/>
  <dc:description/>
  <cp:lastModifiedBy>maria jaraquemada</cp:lastModifiedBy>
  <cp:revision>17</cp:revision>
  <dcterms:created xsi:type="dcterms:W3CDTF">2023-11-08T17:25:00Z</dcterms:created>
  <dcterms:modified xsi:type="dcterms:W3CDTF">2023-12-05T00:16:00Z</dcterms:modified>
</cp:coreProperties>
</file>